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3823" w:rsidRDefault="00000000">
      <w:pPr>
        <w:pBdr>
          <w:bottom w:val="single" w:sz="4" w:space="4" w:color="4F81BD"/>
        </w:pBdr>
        <w:spacing w:before="200" w:after="280" w:line="240" w:lineRule="auto"/>
        <w:ind w:left="567" w:right="-142" w:hanging="993"/>
        <w:jc w:val="center"/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</w:pPr>
      <w:r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Bilješke uz godišnje financijsko izvješće</w:t>
      </w:r>
    </w:p>
    <w:p w:rsidR="00EB3823" w:rsidRDefault="00000000">
      <w:pPr>
        <w:pBdr>
          <w:bottom w:val="single" w:sz="4" w:space="4" w:color="4F81BD"/>
        </w:pBdr>
        <w:spacing w:before="200" w:after="280" w:line="240" w:lineRule="auto"/>
        <w:ind w:left="567" w:right="-142" w:hanging="993"/>
        <w:jc w:val="center"/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</w:pPr>
      <w:r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 xml:space="preserve"> Javne ustanove „Nacionalni park Mljet“ </w:t>
      </w:r>
    </w:p>
    <w:p w:rsidR="00EB3823" w:rsidRDefault="00000000">
      <w:pPr>
        <w:pBdr>
          <w:bottom w:val="single" w:sz="4" w:space="4" w:color="4F81BD"/>
        </w:pBdr>
        <w:spacing w:before="200" w:after="280" w:line="240" w:lineRule="auto"/>
        <w:ind w:left="567" w:right="-142" w:hanging="993"/>
        <w:jc w:val="center"/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</w:pPr>
      <w:r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za</w:t>
      </w:r>
    </w:p>
    <w:p w:rsidR="00EB3823" w:rsidRDefault="00000000">
      <w:pPr>
        <w:pBdr>
          <w:bottom w:val="single" w:sz="4" w:space="4" w:color="4F81BD"/>
        </w:pBdr>
        <w:spacing w:before="200" w:after="280" w:line="240" w:lineRule="auto"/>
        <w:ind w:left="567" w:right="-142" w:hanging="993"/>
        <w:jc w:val="center"/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</w:pPr>
      <w:r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202</w:t>
      </w:r>
      <w:r w:rsidR="00B0476B"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5</w:t>
      </w:r>
      <w:r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. godinu</w:t>
      </w:r>
    </w:p>
    <w:p w:rsidR="00EB3823" w:rsidRDefault="00EB3823">
      <w:pPr>
        <w:jc w:val="center"/>
        <w:rPr>
          <w:lang w:val="en-US"/>
        </w:rPr>
      </w:pPr>
    </w:p>
    <w:p w:rsidR="00EB3823" w:rsidRDefault="00EB3823">
      <w:pPr>
        <w:rPr>
          <w:lang w:val="en-US"/>
        </w:rPr>
      </w:pPr>
    </w:p>
    <w:p w:rsidR="00EB3823" w:rsidRDefault="00000000">
      <w:pPr>
        <w:jc w:val="center"/>
        <w:rPr>
          <w:lang w:eastAsia="hr-HR"/>
        </w:rPr>
      </w:pPr>
      <w:r>
        <w:rPr>
          <w:noProof/>
          <w:lang w:val="en-US"/>
        </w:rPr>
        <w:drawing>
          <wp:inline distT="0" distB="0" distL="0" distR="0">
            <wp:extent cx="2687320" cy="2583815"/>
            <wp:effectExtent l="0" t="0" r="0" b="6985"/>
            <wp:docPr id="4" name="Picture 4" descr="C:\Users\msrsen\AppData\Local\Temp\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msrsen\AppData\Local\Temp\logo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2749" cy="258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23" w:rsidRDefault="00EB3823">
      <w:pPr>
        <w:jc w:val="center"/>
        <w:rPr>
          <w:lang w:eastAsia="hr-HR"/>
        </w:rPr>
      </w:pPr>
    </w:p>
    <w:p w:rsidR="00EB3823" w:rsidRDefault="00EB3823">
      <w:pPr>
        <w:jc w:val="center"/>
        <w:rPr>
          <w:lang w:eastAsia="hr-HR"/>
        </w:rPr>
      </w:pPr>
    </w:p>
    <w:p w:rsidR="00EB3823" w:rsidRDefault="00EB3823">
      <w:pPr>
        <w:jc w:val="center"/>
        <w:rPr>
          <w:lang w:eastAsia="hr-HR"/>
        </w:rPr>
      </w:pPr>
    </w:p>
    <w:p w:rsidR="00EB3823" w:rsidRDefault="00EB3823">
      <w:pPr>
        <w:jc w:val="center"/>
        <w:rPr>
          <w:lang w:eastAsia="hr-HR"/>
        </w:rPr>
      </w:pPr>
    </w:p>
    <w:p w:rsidR="00EB3823" w:rsidRDefault="00EB3823">
      <w:pPr>
        <w:jc w:val="center"/>
        <w:rPr>
          <w:lang w:eastAsia="hr-HR"/>
        </w:rPr>
      </w:pPr>
    </w:p>
    <w:p w:rsidR="00EB3823" w:rsidRDefault="00EB3823">
      <w:pPr>
        <w:jc w:val="center"/>
        <w:rPr>
          <w:lang w:eastAsia="hr-HR"/>
        </w:rPr>
      </w:pPr>
    </w:p>
    <w:p w:rsidR="00EB3823" w:rsidRDefault="00EB3823">
      <w:pPr>
        <w:jc w:val="center"/>
        <w:rPr>
          <w:lang w:eastAsia="hr-HR"/>
        </w:rPr>
      </w:pPr>
    </w:p>
    <w:p w:rsidR="00EB3823" w:rsidRDefault="00EB3823">
      <w:pPr>
        <w:jc w:val="center"/>
        <w:rPr>
          <w:b/>
          <w:i/>
          <w:lang w:eastAsia="hr-HR"/>
        </w:rPr>
      </w:pPr>
    </w:p>
    <w:p w:rsidR="00EB3823" w:rsidRDefault="00000000">
      <w:pPr>
        <w:jc w:val="center"/>
        <w:rPr>
          <w:b/>
          <w:i/>
          <w:lang w:eastAsia="hr-HR"/>
        </w:rPr>
      </w:pPr>
      <w:r>
        <w:rPr>
          <w:b/>
          <w:i/>
          <w:lang w:eastAsia="hr-HR"/>
        </w:rPr>
        <w:t>siječanj 20</w:t>
      </w:r>
      <w:r>
        <w:rPr>
          <w:b/>
          <w:i/>
          <w:lang w:val="en-US" w:eastAsia="hr-HR"/>
        </w:rPr>
        <w:t>2</w:t>
      </w:r>
      <w:r w:rsidR="00B0476B">
        <w:rPr>
          <w:b/>
          <w:i/>
          <w:lang w:val="en-US" w:eastAsia="hr-HR"/>
        </w:rPr>
        <w:t>6</w:t>
      </w:r>
      <w:r>
        <w:rPr>
          <w:b/>
          <w:i/>
          <w:lang w:eastAsia="hr-HR"/>
        </w:rPr>
        <w:t>. godine</w:t>
      </w:r>
    </w:p>
    <w:p w:rsidR="00EB3823" w:rsidRDefault="00EB3823">
      <w:pPr>
        <w:jc w:val="center"/>
        <w:rPr>
          <w:lang w:eastAsia="hr-HR"/>
        </w:rPr>
      </w:pPr>
    </w:p>
    <w:p w:rsidR="00EB3823" w:rsidRDefault="00000000">
      <w:pPr>
        <w:jc w:val="center"/>
        <w:rPr>
          <w:rFonts w:asciiTheme="majorHAnsi" w:hAnsiTheme="majorHAnsi"/>
          <w:b/>
          <w:sz w:val="28"/>
          <w:szCs w:val="28"/>
          <w:lang w:eastAsia="hr-HR"/>
        </w:rPr>
      </w:pPr>
      <w:r>
        <w:rPr>
          <w:rFonts w:asciiTheme="majorHAnsi" w:hAnsiTheme="majorHAnsi"/>
          <w:b/>
          <w:sz w:val="28"/>
          <w:szCs w:val="28"/>
          <w:lang w:eastAsia="hr-HR"/>
        </w:rPr>
        <w:lastRenderedPageBreak/>
        <w:t>Sadržaj</w:t>
      </w:r>
    </w:p>
    <w:p w:rsidR="00EB3823" w:rsidRDefault="00EB3823">
      <w:pPr>
        <w:rPr>
          <w:lang w:eastAsia="hr-HR"/>
        </w:rPr>
      </w:pPr>
    </w:p>
    <w:p w:rsidR="00EB3823" w:rsidRDefault="00000000">
      <w:pPr>
        <w:pStyle w:val="TOC2"/>
        <w:tabs>
          <w:tab w:val="left" w:pos="660"/>
          <w:tab w:val="right" w:leader="dot" w:pos="9060"/>
        </w:tabs>
        <w:rPr>
          <w:rFonts w:eastAsiaTheme="minorEastAsia"/>
          <w:lang w:eastAsia="hr-HR"/>
        </w:rPr>
      </w:pPr>
      <w:r>
        <w:rPr>
          <w:lang w:eastAsia="hr-HR"/>
        </w:rPr>
        <w:fldChar w:fldCharType="begin"/>
      </w:r>
      <w:r>
        <w:rPr>
          <w:lang w:eastAsia="hr-HR"/>
        </w:rPr>
        <w:instrText xml:space="preserve"> TOC \o "1-7" \h \z \u </w:instrText>
      </w:r>
      <w:r>
        <w:rPr>
          <w:lang w:eastAsia="hr-HR"/>
        </w:rPr>
        <w:fldChar w:fldCharType="separate"/>
      </w:r>
      <w:hyperlink w:anchor="_Toc943780" w:history="1">
        <w:r w:rsidR="00EB3823">
          <w:rPr>
            <w:rStyle w:val="Hyperlink"/>
          </w:rPr>
          <w:t>1.</w:t>
        </w:r>
        <w:r w:rsidR="00EB3823">
          <w:rPr>
            <w:rFonts w:eastAsiaTheme="minorEastAsia"/>
            <w:lang w:eastAsia="hr-HR"/>
          </w:rPr>
          <w:tab/>
        </w:r>
        <w:r w:rsidR="00EB3823">
          <w:rPr>
            <w:rStyle w:val="Hyperlink"/>
          </w:rPr>
          <w:t>Uvod</w:t>
        </w:r>
        <w:r w:rsidR="00EB3823">
          <w:tab/>
        </w:r>
        <w:r w:rsidR="00EB3823">
          <w:fldChar w:fldCharType="begin"/>
        </w:r>
        <w:r w:rsidR="00EB3823">
          <w:instrText xml:space="preserve"> PAGEREF _Toc943780 \h </w:instrText>
        </w:r>
        <w:r w:rsidR="00EB3823">
          <w:fldChar w:fldCharType="separate"/>
        </w:r>
        <w:r w:rsidR="00EB3823">
          <w:t>3</w:t>
        </w:r>
        <w:r w:rsidR="00EB3823">
          <w:fldChar w:fldCharType="end"/>
        </w:r>
      </w:hyperlink>
    </w:p>
    <w:p w:rsidR="00EB3823" w:rsidRDefault="00000000">
      <w:pPr>
        <w:pStyle w:val="TOC2"/>
        <w:tabs>
          <w:tab w:val="left" w:pos="660"/>
          <w:tab w:val="right" w:leader="dot" w:pos="9060"/>
        </w:tabs>
        <w:rPr>
          <w:rStyle w:val="Hyperlink"/>
        </w:rPr>
      </w:pPr>
      <w:r>
        <w:fldChar w:fldCharType="begin"/>
      </w:r>
      <w:r>
        <w:instrText xml:space="preserve"> HYPERLINK \l "_Toc943781" </w:instrText>
      </w:r>
      <w:r>
        <w:fldChar w:fldCharType="separate"/>
      </w:r>
      <w:r>
        <w:rPr>
          <w:rStyle w:val="Hyperlink"/>
        </w:rPr>
        <w:t>2.</w:t>
      </w:r>
      <w:r>
        <w:rPr>
          <w:rFonts w:eastAsiaTheme="minorEastAsia"/>
          <w:lang w:eastAsia="hr-HR"/>
        </w:rPr>
        <w:tab/>
      </w:r>
      <w:r>
        <w:rPr>
          <w:rStyle w:val="Hyperlink"/>
        </w:rPr>
        <w:t xml:space="preserve">Bilješke  uz  Izvještaj  o  prihodima  i  rashodima, primicima  i  izdacima  za  razdoblje </w:t>
      </w:r>
    </w:p>
    <w:p w:rsidR="00EB3823" w:rsidRDefault="00000000">
      <w:pPr>
        <w:pStyle w:val="TOC2"/>
        <w:tabs>
          <w:tab w:val="left" w:pos="660"/>
          <w:tab w:val="right" w:leader="dot" w:pos="9060"/>
        </w:tabs>
        <w:ind w:firstLineChars="200" w:firstLine="440"/>
        <w:rPr>
          <w:rFonts w:eastAsiaTheme="minorEastAsia"/>
          <w:lang w:eastAsia="hr-HR"/>
        </w:rPr>
      </w:pPr>
      <w:r>
        <w:rPr>
          <w:rStyle w:val="Hyperlink"/>
        </w:rPr>
        <w:t>1. siječnja – 31. prosinca 202</w:t>
      </w:r>
      <w:r w:rsidR="00B0476B">
        <w:rPr>
          <w:rStyle w:val="Hyperlink"/>
        </w:rPr>
        <w:t>5</w:t>
      </w:r>
      <w:r>
        <w:rPr>
          <w:rStyle w:val="Hyperlink"/>
        </w:rPr>
        <w:t>.  godine</w:t>
      </w:r>
      <w:r>
        <w:tab/>
      </w:r>
      <w:r>
        <w:fldChar w:fldCharType="begin"/>
      </w:r>
      <w:r>
        <w:instrText xml:space="preserve"> PAGEREF _Toc943781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:rsidR="00EB3823" w:rsidRDefault="00EB3823">
      <w:pPr>
        <w:pStyle w:val="TOC4"/>
        <w:tabs>
          <w:tab w:val="right" w:leader="dot" w:pos="9060"/>
        </w:tabs>
        <w:rPr>
          <w:rFonts w:eastAsiaTheme="minorEastAsia"/>
          <w:lang w:eastAsia="hr-HR"/>
        </w:rPr>
      </w:pPr>
      <w:hyperlink w:anchor="_Toc943782" w:history="1">
        <w:r>
          <w:rPr>
            <w:rStyle w:val="Hyperlink"/>
          </w:rPr>
          <w:t>2.1. Prihodi poslovanja</w:t>
        </w:r>
        <w:r>
          <w:tab/>
        </w:r>
        <w:r>
          <w:fldChar w:fldCharType="begin"/>
        </w:r>
        <w:r>
          <w:instrText xml:space="preserve"> PAGEREF _Toc943782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EB3823" w:rsidRDefault="00EB3823">
      <w:pPr>
        <w:pStyle w:val="TOC5"/>
        <w:tabs>
          <w:tab w:val="left" w:pos="1760"/>
          <w:tab w:val="right" w:leader="dot" w:pos="9060"/>
        </w:tabs>
        <w:rPr>
          <w:rFonts w:eastAsiaTheme="minorEastAsia"/>
          <w:lang w:eastAsia="hr-HR"/>
        </w:rPr>
      </w:pPr>
      <w:hyperlink w:anchor="_Toc943783" w:history="1">
        <w:r>
          <w:rPr>
            <w:rStyle w:val="Hyperlink"/>
          </w:rPr>
          <w:t>2.1.1.</w:t>
        </w:r>
        <w:r>
          <w:rPr>
            <w:rFonts w:eastAsiaTheme="minorEastAsia"/>
            <w:lang w:eastAsia="hr-HR"/>
          </w:rPr>
          <w:tab/>
        </w:r>
        <w:r>
          <w:rPr>
            <w:rStyle w:val="Hyperlink"/>
          </w:rPr>
          <w:t>Pomoći iz inozemstva i od subjekata unutar općeg proračuna</w:t>
        </w:r>
        <w:r>
          <w:tab/>
        </w:r>
        <w:r>
          <w:fldChar w:fldCharType="begin"/>
        </w:r>
        <w:r>
          <w:instrText xml:space="preserve"> PAGEREF _Toc943783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EB3823" w:rsidRDefault="00EB3823">
      <w:pPr>
        <w:pStyle w:val="TOC5"/>
        <w:tabs>
          <w:tab w:val="left" w:pos="1760"/>
          <w:tab w:val="right" w:leader="dot" w:pos="9060"/>
        </w:tabs>
        <w:rPr>
          <w:rFonts w:eastAsiaTheme="minorEastAsia"/>
          <w:lang w:eastAsia="hr-HR"/>
        </w:rPr>
      </w:pPr>
      <w:hyperlink w:anchor="_Toc943784" w:history="1">
        <w:r>
          <w:rPr>
            <w:rStyle w:val="Hyperlink"/>
          </w:rPr>
          <w:t>2.1.2.</w:t>
        </w:r>
        <w:r>
          <w:rPr>
            <w:rFonts w:eastAsiaTheme="minorEastAsia"/>
            <w:lang w:eastAsia="hr-HR"/>
          </w:rPr>
          <w:tab/>
        </w:r>
        <w:r>
          <w:rPr>
            <w:rStyle w:val="Hyperlink"/>
          </w:rPr>
          <w:t xml:space="preserve">Prihodi od imovine </w:t>
        </w:r>
        <w:r>
          <w:tab/>
        </w:r>
        <w:r>
          <w:fldChar w:fldCharType="begin"/>
        </w:r>
        <w:r>
          <w:instrText xml:space="preserve"> PAGEREF _Toc943784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EB3823" w:rsidRDefault="00000000">
      <w:pPr>
        <w:pStyle w:val="TOC5"/>
        <w:tabs>
          <w:tab w:val="left" w:pos="1760"/>
          <w:tab w:val="right" w:leader="dot" w:pos="9060"/>
        </w:tabs>
        <w:rPr>
          <w:rStyle w:val="Hyperlink"/>
        </w:rPr>
      </w:pPr>
      <w:r>
        <w:fldChar w:fldCharType="begin"/>
      </w:r>
      <w:r>
        <w:instrText xml:space="preserve"> HYPERLINK \l "_Toc943785" </w:instrText>
      </w:r>
      <w:r>
        <w:fldChar w:fldCharType="separate"/>
      </w:r>
      <w:r>
        <w:rPr>
          <w:rStyle w:val="Hyperlink"/>
        </w:rPr>
        <w:t>2.1.3.</w:t>
      </w:r>
      <w:r>
        <w:rPr>
          <w:rFonts w:eastAsiaTheme="minorEastAsia"/>
          <w:lang w:eastAsia="hr-HR"/>
        </w:rPr>
        <w:tab/>
      </w:r>
      <w:r>
        <w:rPr>
          <w:rStyle w:val="Hyperlink"/>
        </w:rPr>
        <w:t xml:space="preserve">Prihodi od upravnih i administrativnih pristojbi, pristojbi po posebnim </w:t>
      </w:r>
    </w:p>
    <w:p w:rsidR="00EB3823" w:rsidRDefault="00000000">
      <w:pPr>
        <w:pStyle w:val="TOC5"/>
        <w:tabs>
          <w:tab w:val="left" w:pos="1760"/>
          <w:tab w:val="right" w:leader="dot" w:pos="9060"/>
        </w:tabs>
        <w:ind w:firstLineChars="400" w:firstLine="880"/>
        <w:rPr>
          <w:rFonts w:eastAsiaTheme="minorEastAsia"/>
          <w:lang w:eastAsia="hr-HR"/>
        </w:rPr>
      </w:pPr>
      <w:r>
        <w:rPr>
          <w:rStyle w:val="Hyperlink"/>
        </w:rPr>
        <w:t xml:space="preserve">propisima i naknada </w:t>
      </w:r>
      <w:r>
        <w:tab/>
      </w:r>
      <w:r>
        <w:fldChar w:fldCharType="begin"/>
      </w:r>
      <w:r>
        <w:instrText xml:space="preserve"> PAGEREF _Toc943785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:rsidR="00EB3823" w:rsidRDefault="00EB3823">
      <w:pPr>
        <w:pStyle w:val="TOC5"/>
        <w:tabs>
          <w:tab w:val="left" w:pos="1760"/>
          <w:tab w:val="right" w:leader="dot" w:pos="9060"/>
        </w:tabs>
        <w:rPr>
          <w:rFonts w:eastAsiaTheme="minorEastAsia"/>
          <w:lang w:eastAsia="hr-HR"/>
        </w:rPr>
      </w:pPr>
      <w:hyperlink w:anchor="_Toc943786" w:history="1">
        <w:r>
          <w:rPr>
            <w:rStyle w:val="Hyperlink"/>
          </w:rPr>
          <w:t>2.1.4.</w:t>
        </w:r>
        <w:r>
          <w:rPr>
            <w:rFonts w:eastAsiaTheme="minorEastAsia"/>
            <w:lang w:eastAsia="hr-HR"/>
          </w:rPr>
          <w:tab/>
        </w:r>
        <w:r>
          <w:rPr>
            <w:rStyle w:val="Hyperlink"/>
          </w:rPr>
          <w:t>Prihodi od prodaje robe i pruženih usluga</w:t>
        </w:r>
        <w:r>
          <w:tab/>
        </w:r>
        <w:r>
          <w:fldChar w:fldCharType="begin"/>
        </w:r>
        <w:r>
          <w:instrText xml:space="preserve"> PAGEREF _Toc943786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EB3823" w:rsidRDefault="00EB3823">
      <w:pPr>
        <w:pStyle w:val="TOC5"/>
        <w:tabs>
          <w:tab w:val="left" w:pos="1760"/>
          <w:tab w:val="right" w:leader="dot" w:pos="9060"/>
        </w:tabs>
        <w:rPr>
          <w:rFonts w:eastAsiaTheme="minorEastAsia"/>
          <w:lang w:eastAsia="hr-HR"/>
        </w:rPr>
      </w:pPr>
      <w:hyperlink w:anchor="_Toc943787" w:history="1">
        <w:r>
          <w:rPr>
            <w:rStyle w:val="Hyperlink"/>
          </w:rPr>
          <w:t>2.1.5.</w:t>
        </w:r>
        <w:r>
          <w:rPr>
            <w:rFonts w:eastAsiaTheme="minorEastAsia"/>
            <w:lang w:eastAsia="hr-HR"/>
          </w:rPr>
          <w:tab/>
        </w:r>
        <w:r>
          <w:rPr>
            <w:rStyle w:val="Hyperlink"/>
          </w:rPr>
          <w:t xml:space="preserve">Prihodi iz nadležnog proračuna i od HZZO-a na temelju ugovornih obveza </w:t>
        </w:r>
        <w:r>
          <w:tab/>
        </w:r>
        <w:r>
          <w:fldChar w:fldCharType="begin"/>
        </w:r>
        <w:r>
          <w:instrText xml:space="preserve"> PAGEREF _Toc943787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EB3823" w:rsidRDefault="00EB3823">
      <w:pPr>
        <w:pStyle w:val="TOC5"/>
        <w:tabs>
          <w:tab w:val="left" w:pos="1760"/>
          <w:tab w:val="right" w:leader="dot" w:pos="9060"/>
        </w:tabs>
      </w:pPr>
      <w:hyperlink w:anchor="_Toc943788" w:history="1">
        <w:r>
          <w:rPr>
            <w:rStyle w:val="Hyperlink"/>
          </w:rPr>
          <w:t>2.1.6.</w:t>
        </w:r>
        <w:r>
          <w:rPr>
            <w:rFonts w:eastAsiaTheme="minorEastAsia"/>
            <w:lang w:eastAsia="hr-HR"/>
          </w:rPr>
          <w:tab/>
        </w:r>
        <w:r>
          <w:rPr>
            <w:rStyle w:val="Hyperlink"/>
          </w:rPr>
          <w:t xml:space="preserve">Kazne, upravne mjere i ostali prihodi </w:t>
        </w:r>
        <w:r>
          <w:tab/>
        </w:r>
        <w:r>
          <w:fldChar w:fldCharType="begin"/>
        </w:r>
        <w:r>
          <w:instrText xml:space="preserve"> PAGEREF _Toc943788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EB3823" w:rsidRDefault="00000000">
      <w:r>
        <w:tab/>
        <w:t xml:space="preserve">   2.1.7.        Prihod od prodaje proizvodne dugotrajne imovine ………………..……………….….………6</w:t>
      </w:r>
    </w:p>
    <w:p w:rsidR="00EB3823" w:rsidRDefault="00EB3823">
      <w:pPr>
        <w:pStyle w:val="TOC4"/>
        <w:tabs>
          <w:tab w:val="right" w:leader="dot" w:pos="9060"/>
        </w:tabs>
        <w:rPr>
          <w:rFonts w:eastAsiaTheme="minorEastAsia"/>
          <w:lang w:eastAsia="hr-HR"/>
        </w:rPr>
      </w:pPr>
      <w:hyperlink w:anchor="_Toc943789" w:history="1">
        <w:r>
          <w:rPr>
            <w:rStyle w:val="Hyperlink"/>
          </w:rPr>
          <w:t>2.2. Rashodi poslovanja</w:t>
        </w:r>
        <w:r>
          <w:tab/>
        </w:r>
        <w:r>
          <w:fldChar w:fldCharType="begin"/>
        </w:r>
        <w:r>
          <w:instrText xml:space="preserve"> PAGEREF _Toc943789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EB3823" w:rsidRDefault="00EB3823">
      <w:pPr>
        <w:pStyle w:val="TOC5"/>
        <w:tabs>
          <w:tab w:val="right" w:leader="dot" w:pos="9060"/>
        </w:tabs>
        <w:rPr>
          <w:rFonts w:eastAsiaTheme="minorEastAsia"/>
          <w:lang w:eastAsia="hr-HR"/>
        </w:rPr>
      </w:pPr>
      <w:hyperlink w:anchor="_Toc943790" w:history="1">
        <w:r>
          <w:rPr>
            <w:rStyle w:val="Hyperlink"/>
          </w:rPr>
          <w:t>2.2.1. Rashodi za zaposlene</w:t>
        </w:r>
        <w:r>
          <w:tab/>
        </w:r>
        <w:r>
          <w:fldChar w:fldCharType="begin"/>
        </w:r>
        <w:r>
          <w:instrText xml:space="preserve"> PAGEREF _Toc943790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EB3823" w:rsidRDefault="00EB3823">
      <w:pPr>
        <w:pStyle w:val="TOC5"/>
        <w:tabs>
          <w:tab w:val="right" w:leader="dot" w:pos="9060"/>
        </w:tabs>
        <w:rPr>
          <w:rFonts w:eastAsiaTheme="minorEastAsia"/>
          <w:lang w:eastAsia="hr-HR"/>
        </w:rPr>
      </w:pPr>
      <w:hyperlink w:anchor="_Toc943791" w:history="1">
        <w:r>
          <w:rPr>
            <w:rStyle w:val="Hyperlink"/>
          </w:rPr>
          <w:t>2.2.2. Materijalni rashodi</w:t>
        </w:r>
        <w:r>
          <w:tab/>
        </w:r>
        <w:r>
          <w:fldChar w:fldCharType="begin"/>
        </w:r>
        <w:r>
          <w:instrText xml:space="preserve"> PAGEREF _Toc943791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EB3823" w:rsidRDefault="00EB3823">
      <w:pPr>
        <w:pStyle w:val="TOC5"/>
        <w:tabs>
          <w:tab w:val="right" w:leader="dot" w:pos="9060"/>
        </w:tabs>
        <w:rPr>
          <w:rFonts w:eastAsiaTheme="minorEastAsia"/>
          <w:lang w:eastAsia="hr-HR"/>
        </w:rPr>
      </w:pPr>
      <w:hyperlink w:anchor="_Toc943792" w:history="1">
        <w:r>
          <w:rPr>
            <w:rStyle w:val="Hyperlink"/>
          </w:rPr>
          <w:t>2.2.3. Financijski rashodi</w:t>
        </w:r>
        <w:r>
          <w:tab/>
        </w:r>
        <w:r>
          <w:fldChar w:fldCharType="begin"/>
        </w:r>
        <w:r>
          <w:instrText xml:space="preserve"> PAGEREF _Toc943792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EB3823" w:rsidRDefault="00EB3823">
      <w:pPr>
        <w:pStyle w:val="TOC5"/>
        <w:tabs>
          <w:tab w:val="right" w:leader="dot" w:pos="9060"/>
        </w:tabs>
        <w:rPr>
          <w:rFonts w:eastAsiaTheme="minorEastAsia"/>
          <w:lang w:eastAsia="hr-HR"/>
        </w:rPr>
      </w:pPr>
      <w:hyperlink w:anchor="_Toc943793" w:history="1">
        <w:r>
          <w:rPr>
            <w:rStyle w:val="Hyperlink"/>
          </w:rPr>
          <w:t>2.2.4. Pomoći dane u inozemstvo i unutar općeg proračuna</w:t>
        </w:r>
        <w:r>
          <w:tab/>
        </w:r>
        <w:r>
          <w:fldChar w:fldCharType="begin"/>
        </w:r>
        <w:r>
          <w:instrText xml:space="preserve"> PAGEREF _Toc943793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EB3823" w:rsidRDefault="00EB3823">
      <w:pPr>
        <w:pStyle w:val="TOC5"/>
        <w:tabs>
          <w:tab w:val="right" w:leader="dot" w:pos="9060"/>
        </w:tabs>
        <w:rPr>
          <w:rFonts w:eastAsiaTheme="minorEastAsia"/>
          <w:lang w:eastAsia="hr-HR"/>
        </w:rPr>
      </w:pPr>
      <w:hyperlink w:anchor="_Toc943795" w:history="1">
        <w:r>
          <w:rPr>
            <w:rStyle w:val="Hyperlink"/>
          </w:rPr>
          <w:t>2.2.5. Ostali rashodi</w:t>
        </w:r>
        <w:r>
          <w:tab/>
        </w:r>
        <w:r>
          <w:fldChar w:fldCharType="begin"/>
        </w:r>
        <w:r>
          <w:instrText xml:space="preserve"> PAGEREF _Toc943795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EB3823" w:rsidRDefault="00EB3823">
      <w:pPr>
        <w:pStyle w:val="TOC4"/>
        <w:tabs>
          <w:tab w:val="right" w:leader="dot" w:pos="9060"/>
        </w:tabs>
        <w:rPr>
          <w:rFonts w:eastAsiaTheme="minorEastAsia"/>
          <w:lang w:eastAsia="hr-HR"/>
        </w:rPr>
      </w:pPr>
      <w:hyperlink w:anchor="_Toc943796" w:history="1">
        <w:r>
          <w:rPr>
            <w:rStyle w:val="Hyperlink"/>
          </w:rPr>
          <w:t>2.3. Rashodi za nabavu nefinancijske imovine</w:t>
        </w:r>
        <w:r>
          <w:tab/>
        </w:r>
        <w:r>
          <w:fldChar w:fldCharType="begin"/>
        </w:r>
        <w:r>
          <w:instrText xml:space="preserve"> PAGEREF _Toc943796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EB3823" w:rsidRDefault="00EB3823">
      <w:pPr>
        <w:pStyle w:val="TOC5"/>
        <w:tabs>
          <w:tab w:val="left" w:pos="1760"/>
          <w:tab w:val="right" w:leader="dot" w:pos="9060"/>
        </w:tabs>
        <w:rPr>
          <w:rFonts w:eastAsiaTheme="minorEastAsia"/>
          <w:lang w:eastAsia="hr-HR"/>
        </w:rPr>
      </w:pPr>
      <w:hyperlink w:anchor="_Toc943797" w:history="1">
        <w:r>
          <w:rPr>
            <w:rStyle w:val="Hyperlink"/>
          </w:rPr>
          <w:t>2.3.1.</w:t>
        </w:r>
        <w:r>
          <w:rPr>
            <w:rFonts w:eastAsiaTheme="minorEastAsia"/>
            <w:lang w:eastAsia="hr-HR"/>
          </w:rPr>
          <w:tab/>
        </w:r>
        <w:r>
          <w:rPr>
            <w:rStyle w:val="Hyperlink"/>
          </w:rPr>
          <w:t>Rashodi za nabavu neproizvedene dugotrajne imovine</w:t>
        </w:r>
        <w:r>
          <w:tab/>
        </w:r>
        <w:r>
          <w:fldChar w:fldCharType="begin"/>
        </w:r>
        <w:r>
          <w:instrText xml:space="preserve"> PAGEREF _Toc943797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EB3823" w:rsidRDefault="00EB3823">
      <w:pPr>
        <w:pStyle w:val="TOC5"/>
        <w:tabs>
          <w:tab w:val="left" w:pos="1760"/>
          <w:tab w:val="right" w:leader="dot" w:pos="9060"/>
        </w:tabs>
      </w:pPr>
      <w:hyperlink w:anchor="_Toc943798" w:history="1">
        <w:r>
          <w:rPr>
            <w:rStyle w:val="Hyperlink"/>
          </w:rPr>
          <w:t>2.3.2.</w:t>
        </w:r>
        <w:r>
          <w:rPr>
            <w:rFonts w:eastAsiaTheme="minorEastAsia"/>
            <w:lang w:eastAsia="hr-HR"/>
          </w:rPr>
          <w:tab/>
        </w:r>
        <w:r>
          <w:rPr>
            <w:rStyle w:val="Hyperlink"/>
          </w:rPr>
          <w:t>Rashodi za nabavu proizvedene dugotrajne imovine</w:t>
        </w:r>
        <w:r>
          <w:tab/>
        </w:r>
        <w:r>
          <w:fldChar w:fldCharType="begin"/>
        </w:r>
        <w:r>
          <w:instrText xml:space="preserve"> PAGEREF _Toc943798 \h 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EB3823" w:rsidRDefault="00EB3823">
      <w:pPr>
        <w:pStyle w:val="TOC5"/>
        <w:tabs>
          <w:tab w:val="left" w:pos="1760"/>
          <w:tab w:val="right" w:leader="dot" w:pos="9060"/>
        </w:tabs>
      </w:pPr>
      <w:hyperlink w:anchor="_Toc943799" w:history="1">
        <w:r>
          <w:rPr>
            <w:rStyle w:val="Hyperlink"/>
            <w:bCs/>
            <w:iCs/>
          </w:rPr>
          <w:t>2.3.3.</w:t>
        </w:r>
        <w:r>
          <w:rPr>
            <w:rFonts w:eastAsiaTheme="minorEastAsia"/>
            <w:lang w:eastAsia="hr-HR"/>
          </w:rPr>
          <w:tab/>
        </w:r>
        <w:r>
          <w:rPr>
            <w:rStyle w:val="Hyperlink"/>
          </w:rPr>
          <w:t>Rashodi za dodatna ulaganja na nefinancijskoj imovini</w:t>
        </w:r>
        <w:r>
          <w:tab/>
        </w:r>
        <w:r>
          <w:fldChar w:fldCharType="begin"/>
        </w:r>
        <w:r>
          <w:instrText xml:space="preserve"> PAGEREF _Toc943799 \h 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EB3823" w:rsidRDefault="00EB3823">
      <w:pPr>
        <w:pStyle w:val="TOC2"/>
        <w:tabs>
          <w:tab w:val="left" w:pos="660"/>
          <w:tab w:val="right" w:leader="dot" w:pos="9060"/>
        </w:tabs>
        <w:rPr>
          <w:rStyle w:val="Hyperlink"/>
        </w:rPr>
      </w:pPr>
      <w:hyperlink w:anchor="_Toc943800" w:history="1">
        <w:r>
          <w:rPr>
            <w:rStyle w:val="Hyperlink"/>
          </w:rPr>
          <w:t>3.</w:t>
        </w:r>
        <w:r>
          <w:rPr>
            <w:rStyle w:val="Hyperlink"/>
          </w:rPr>
          <w:tab/>
          <w:t>Bilješke uz obrazac P – VRIO</w:t>
        </w:r>
        <w:r>
          <w:rPr>
            <w:rStyle w:val="Hyperlink"/>
          </w:rPr>
          <w:tab/>
        </w:r>
        <w:r>
          <w:rPr>
            <w:rStyle w:val="Hyperlink"/>
          </w:rPr>
          <w:fldChar w:fldCharType="begin"/>
        </w:r>
        <w:r>
          <w:rPr>
            <w:rStyle w:val="Hyperlink"/>
          </w:rPr>
          <w:instrText xml:space="preserve"> PAGEREF _Toc943800 \h </w:instrText>
        </w:r>
        <w:r>
          <w:rPr>
            <w:rStyle w:val="Hyperlink"/>
          </w:rPr>
        </w:r>
        <w:r>
          <w:rPr>
            <w:rStyle w:val="Hyperlink"/>
          </w:rPr>
          <w:fldChar w:fldCharType="separate"/>
        </w:r>
        <w:r>
          <w:rPr>
            <w:rStyle w:val="Hyperlink"/>
          </w:rPr>
          <w:t>10</w:t>
        </w:r>
        <w:r>
          <w:rPr>
            <w:rStyle w:val="Hyperlink"/>
          </w:rPr>
          <w:fldChar w:fldCharType="end"/>
        </w:r>
      </w:hyperlink>
    </w:p>
    <w:p w:rsidR="00EB3823" w:rsidRDefault="00EB3823">
      <w:pPr>
        <w:pStyle w:val="TOC2"/>
        <w:tabs>
          <w:tab w:val="left" w:pos="660"/>
          <w:tab w:val="right" w:leader="dot" w:pos="9060"/>
        </w:tabs>
        <w:rPr>
          <w:rFonts w:eastAsiaTheme="minorEastAsia"/>
          <w:lang w:eastAsia="hr-HR"/>
        </w:rPr>
      </w:pPr>
      <w:hyperlink w:anchor="_Toc943801" w:history="1">
        <w:r>
          <w:rPr>
            <w:rStyle w:val="Hyperlink"/>
          </w:rPr>
          <w:t>4.</w:t>
        </w:r>
        <w:r>
          <w:rPr>
            <w:rFonts w:eastAsiaTheme="minorEastAsia"/>
            <w:lang w:eastAsia="hr-HR"/>
          </w:rPr>
          <w:tab/>
        </w:r>
        <w:r>
          <w:rPr>
            <w:rStyle w:val="Hyperlink"/>
          </w:rPr>
          <w:t>Bilješke uz obrazac BILANCA</w:t>
        </w:r>
        <w:r>
          <w:tab/>
        </w:r>
        <w:r>
          <w:fldChar w:fldCharType="begin"/>
        </w:r>
        <w:r>
          <w:instrText xml:space="preserve"> PAGEREF _Toc943801 \h 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EB3823" w:rsidRDefault="00EB3823">
      <w:pPr>
        <w:pStyle w:val="TOC2"/>
        <w:tabs>
          <w:tab w:val="left" w:pos="660"/>
          <w:tab w:val="right" w:leader="dot" w:pos="9060"/>
        </w:tabs>
        <w:rPr>
          <w:rFonts w:eastAsiaTheme="minorEastAsia"/>
          <w:lang w:eastAsia="hr-HR"/>
        </w:rPr>
      </w:pPr>
      <w:hyperlink w:anchor="_Toc943802" w:history="1">
        <w:r>
          <w:rPr>
            <w:rStyle w:val="Hyperlink"/>
          </w:rPr>
          <w:t>5.</w:t>
        </w:r>
        <w:r>
          <w:rPr>
            <w:rFonts w:eastAsiaTheme="minorEastAsia"/>
            <w:lang w:eastAsia="hr-HR"/>
          </w:rPr>
          <w:tab/>
        </w:r>
        <w:r>
          <w:rPr>
            <w:rStyle w:val="Hyperlink"/>
          </w:rPr>
          <w:t>Bilješke uz obrazac – OBVEZE</w:t>
        </w:r>
        <w:r>
          <w:tab/>
        </w:r>
        <w:r>
          <w:fldChar w:fldCharType="begin"/>
        </w:r>
        <w:r>
          <w:instrText xml:space="preserve"> PAGEREF _Toc943802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EB3823" w:rsidRDefault="00EB3823">
      <w:pPr>
        <w:pStyle w:val="TOC2"/>
        <w:tabs>
          <w:tab w:val="left" w:pos="660"/>
          <w:tab w:val="right" w:leader="dot" w:pos="9060"/>
        </w:tabs>
        <w:rPr>
          <w:rFonts w:eastAsiaTheme="minorEastAsia"/>
          <w:lang w:eastAsia="hr-HR"/>
        </w:rPr>
      </w:pPr>
      <w:hyperlink w:anchor="_Toc943803" w:history="1">
        <w:r>
          <w:rPr>
            <w:rStyle w:val="Hyperlink"/>
          </w:rPr>
          <w:t>6.</w:t>
        </w:r>
        <w:r>
          <w:rPr>
            <w:rFonts w:eastAsiaTheme="minorEastAsia"/>
            <w:lang w:eastAsia="hr-HR"/>
          </w:rPr>
          <w:tab/>
        </w:r>
        <w:r>
          <w:rPr>
            <w:rStyle w:val="Hyperlink"/>
          </w:rPr>
          <w:t>Potencijalne obveze po sudskim sporovima na dan 31.12.2025. godine</w:t>
        </w:r>
        <w:r>
          <w:tab/>
        </w:r>
        <w:r>
          <w:fldChar w:fldCharType="begin"/>
        </w:r>
        <w:r>
          <w:instrText xml:space="preserve"> PAGEREF _Toc943803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EB3823" w:rsidRDefault="00000000">
      <w:pPr>
        <w:rPr>
          <w:lang w:eastAsia="hr-HR"/>
        </w:rPr>
        <w:sectPr w:rsidR="00EB3823">
          <w:footerReference w:type="default" r:id="rId9"/>
          <w:footerReference w:type="first" r:id="rId10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lang w:eastAsia="hr-HR"/>
        </w:rPr>
        <w:fldChar w:fldCharType="end"/>
      </w:r>
    </w:p>
    <w:p w:rsidR="00EB3823" w:rsidRDefault="00000000">
      <w:pPr>
        <w:pStyle w:val="Heading2"/>
      </w:pPr>
      <w:bookmarkStart w:id="0" w:name="_Toc943780"/>
      <w:bookmarkStart w:id="1" w:name="_Toc495932297"/>
      <w:bookmarkStart w:id="2" w:name="_Toc495930800"/>
      <w:r>
        <w:lastRenderedPageBreak/>
        <w:t>Uvod</w:t>
      </w:r>
      <w:bookmarkEnd w:id="0"/>
      <w:bookmarkEnd w:id="1"/>
      <w:bookmarkEnd w:id="2"/>
    </w:p>
    <w:p w:rsidR="00EB3823" w:rsidRDefault="00EB382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EB3823" w:rsidRDefault="00EB382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EB3823" w:rsidRDefault="00000000">
      <w:pPr>
        <w:jc w:val="both"/>
      </w:pPr>
      <w:r>
        <w:t>Osnovna svrha godišnjeg financijskog izvještaja jest dati informacije o financijskom položaju i uspješnosti ispunjenja postavljenih ciljeva (poslovanja) proračunskog korisnika. Sukladno Pravilniku o financijskom izvještavanju u proračunskom računovodstvu, Javna ustanova Nacionalni park Mljet kao proračunski korisnik je u obvezi izraditi godišnji financijski izvještaj od 31. siječnja do 31. prosinca 202</w:t>
      </w:r>
      <w:r w:rsidR="005B1B4D">
        <w:t>5</w:t>
      </w:r>
      <w:r>
        <w:t xml:space="preserve">. godine koji se sastoji od: </w:t>
      </w:r>
    </w:p>
    <w:p w:rsidR="00EB3823" w:rsidRDefault="00000000">
      <w:pPr>
        <w:pStyle w:val="ListParagraph"/>
        <w:numPr>
          <w:ilvl w:val="0"/>
          <w:numId w:val="4"/>
        </w:numPr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Bilanca na Obrascu: BIL</w:t>
      </w:r>
    </w:p>
    <w:p w:rsidR="00EB3823" w:rsidRDefault="00000000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b w:val="0"/>
          <w:sz w:val="24"/>
        </w:rPr>
        <w:t>Izvještaj o prihodima i rashodima, primicima i izdacima na Obrascu: PR-RAS</w:t>
      </w:r>
    </w:p>
    <w:p w:rsidR="00EB3823" w:rsidRDefault="00000000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b w:val="0"/>
          <w:sz w:val="24"/>
        </w:rPr>
        <w:t>Izvještaj o promjenama u vrijednosti i obujmu imovine i obveza na Obrascu: P-VRIO</w:t>
      </w:r>
    </w:p>
    <w:p w:rsidR="00EB3823" w:rsidRDefault="00000000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b w:val="0"/>
          <w:sz w:val="24"/>
        </w:rPr>
        <w:t>Izvještaj o rashodima prema funkcijskoj klasifikaciji na Obrascu: RAS-funkcijski</w:t>
      </w:r>
    </w:p>
    <w:p w:rsidR="00EB3823" w:rsidRDefault="00000000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b w:val="0"/>
          <w:sz w:val="24"/>
        </w:rPr>
        <w:t>Izvještaj o obvezama na obrascu: Obveze</w:t>
      </w:r>
    </w:p>
    <w:p w:rsidR="005B1B4D" w:rsidRDefault="005B1B4D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b w:val="0"/>
          <w:sz w:val="24"/>
        </w:rPr>
        <w:t xml:space="preserve">Izvještaj o EU sredstvima </w:t>
      </w:r>
    </w:p>
    <w:p w:rsidR="00EB3823" w:rsidRDefault="00000000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b w:val="0"/>
          <w:sz w:val="24"/>
        </w:rPr>
        <w:t>Bilješke uz financijsko izvješće za 202</w:t>
      </w:r>
      <w:r w:rsidR="006A66FC">
        <w:rPr>
          <w:rFonts w:asciiTheme="minorHAnsi" w:hAnsiTheme="minorHAnsi"/>
          <w:b w:val="0"/>
          <w:sz w:val="24"/>
        </w:rPr>
        <w:t>5</w:t>
      </w:r>
      <w:r>
        <w:rPr>
          <w:rFonts w:asciiTheme="minorHAnsi" w:hAnsiTheme="minorHAnsi"/>
          <w:b w:val="0"/>
          <w:sz w:val="24"/>
        </w:rPr>
        <w:t>. godinu</w:t>
      </w:r>
    </w:p>
    <w:p w:rsidR="00EB3823" w:rsidRDefault="00000000">
      <w:pPr>
        <w:jc w:val="both"/>
        <w:rPr>
          <w:sz w:val="24"/>
        </w:rPr>
      </w:pPr>
      <w:r>
        <w:rPr>
          <w:sz w:val="24"/>
        </w:rPr>
        <w:t>Bilješke su dopuna podataka uz financijske izvještaje. Mogu biti opisne, brojčane ili kombinirane. Označavaju se rednim brojevima s pozivom na šifru u  izvještaju na koju se odnose.</w:t>
      </w:r>
    </w:p>
    <w:p w:rsidR="00EB3823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Izvještaj se najkasnije do 31. siječnja tekuće godine predaje u putem aplikacije RKPFI nadležnom proračunu i državnoj reviziji. U prilogu ovog obrazloženja su potvrde da je izvještaj predan na sve potrebne adrese.</w:t>
      </w:r>
      <w:r>
        <w:rPr>
          <w:rFonts w:eastAsia="Times New Roman" w:cs="Times New Roman"/>
          <w:bCs/>
          <w:iCs/>
          <w:sz w:val="24"/>
          <w:szCs w:val="24"/>
        </w:rPr>
        <w:t xml:space="preserve"> Konačno, kao rezultat poslovanja na dan 31.12.202</w:t>
      </w:r>
      <w:r w:rsidR="006A66FC">
        <w:rPr>
          <w:rFonts w:eastAsia="Times New Roman" w:cs="Times New Roman"/>
          <w:bCs/>
          <w:iCs/>
          <w:sz w:val="24"/>
          <w:szCs w:val="24"/>
        </w:rPr>
        <w:t>5</w:t>
      </w:r>
      <w:r>
        <w:rPr>
          <w:rFonts w:eastAsia="Times New Roman" w:cs="Times New Roman"/>
          <w:bCs/>
          <w:iCs/>
          <w:sz w:val="24"/>
          <w:szCs w:val="24"/>
        </w:rPr>
        <w:t>. godine utvrđen je "manjak prihoda i</w:t>
      </w:r>
      <w:r>
        <w:rPr>
          <w:rFonts w:cs="Arial"/>
          <w:bCs/>
          <w:iCs/>
          <w:sz w:val="20"/>
          <w:szCs w:val="20"/>
        </w:rPr>
        <w:t xml:space="preserve"> </w:t>
      </w:r>
      <w:r>
        <w:rPr>
          <w:rFonts w:eastAsia="Times New Roman" w:cs="Times New Roman"/>
          <w:bCs/>
          <w:iCs/>
          <w:sz w:val="24"/>
          <w:szCs w:val="24"/>
        </w:rPr>
        <w:t xml:space="preserve">primitaka" u iznosu od  </w:t>
      </w:r>
      <w:r w:rsidR="006A66FC">
        <w:rPr>
          <w:rFonts w:eastAsia="Times New Roman" w:cs="Times New Roman"/>
          <w:bCs/>
          <w:iCs/>
          <w:sz w:val="24"/>
          <w:szCs w:val="24"/>
        </w:rPr>
        <w:t>518.512,01</w:t>
      </w:r>
      <w:r>
        <w:rPr>
          <w:rFonts w:eastAsia="Times New Roman" w:cs="Times New Roman"/>
          <w:bCs/>
          <w:iCs/>
          <w:sz w:val="24"/>
          <w:szCs w:val="24"/>
        </w:rPr>
        <w:t xml:space="preserve"> eura (šifra Y005) korigiran prenesenim viškom iz proteklih godina u iznosu od  </w:t>
      </w:r>
      <w:r w:rsidR="006A66FC">
        <w:rPr>
          <w:rFonts w:eastAsia="Times New Roman" w:cs="Times New Roman"/>
          <w:bCs/>
          <w:iCs/>
          <w:sz w:val="24"/>
          <w:szCs w:val="24"/>
        </w:rPr>
        <w:t>829.503,14</w:t>
      </w:r>
      <w:r>
        <w:rPr>
          <w:rFonts w:eastAsia="Times New Roman" w:cs="Times New Roman"/>
          <w:bCs/>
          <w:iCs/>
          <w:sz w:val="24"/>
          <w:szCs w:val="24"/>
        </w:rPr>
        <w:t xml:space="preserve"> eura (šifra 9221-9222) daje višak prihoda i primitaka za pokriće  u sljedećem razdoblju u iznosu od </w:t>
      </w:r>
      <w:r w:rsidR="006A66FC">
        <w:rPr>
          <w:rFonts w:eastAsia="Times New Roman" w:cs="Times New Roman"/>
          <w:bCs/>
          <w:iCs/>
          <w:sz w:val="24"/>
          <w:szCs w:val="24"/>
        </w:rPr>
        <w:t>310.991,13</w:t>
      </w:r>
      <w:r>
        <w:rPr>
          <w:rFonts w:eastAsia="Times New Roman" w:cs="Times New Roman"/>
          <w:bCs/>
          <w:iCs/>
          <w:sz w:val="24"/>
          <w:szCs w:val="24"/>
        </w:rPr>
        <w:t xml:space="preserve"> eura (šifra X006). Obzirom na sezonski karakter Ustanove koja do lipnja sljedeće godine ne ostvaruje dovoljne prihode za podmirivanje rashoda poslovanja višak je potreban za podmirenje troškova poslovanja i pripremu za posjetiteljsku te je sastavni dio Financijskog plana Ustanove za 2025. godinu. </w:t>
      </w:r>
    </w:p>
    <w:p w:rsidR="00EB3823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Cs/>
          <w:sz w:val="24"/>
          <w:szCs w:val="24"/>
        </w:rPr>
      </w:pPr>
      <w:r>
        <w:rPr>
          <w:rFonts w:eastAsia="Times New Roman" w:cs="Times New Roman"/>
          <w:bCs/>
          <w:iCs/>
          <w:sz w:val="24"/>
          <w:szCs w:val="24"/>
        </w:rPr>
        <w:t>Pregled ostvarenih rezultata poslovanja Javne ustanove Nacionalni park Mljet za razdoblje od siječnja do prosinca 202</w:t>
      </w:r>
      <w:r w:rsidR="00C33365">
        <w:rPr>
          <w:rFonts w:eastAsia="Times New Roman" w:cs="Times New Roman"/>
          <w:bCs/>
          <w:iCs/>
          <w:sz w:val="24"/>
          <w:szCs w:val="24"/>
        </w:rPr>
        <w:t>5</w:t>
      </w:r>
      <w:r>
        <w:rPr>
          <w:rFonts w:eastAsia="Times New Roman" w:cs="Times New Roman"/>
          <w:bCs/>
          <w:iCs/>
          <w:sz w:val="24"/>
          <w:szCs w:val="24"/>
        </w:rPr>
        <w:t>. godine iskazan je u nastavku  Bilješki uz financijske izvještaje.</w:t>
      </w:r>
    </w:p>
    <w:p w:rsidR="00EB3823" w:rsidRDefault="00EB382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Cs/>
          <w:sz w:val="24"/>
          <w:szCs w:val="24"/>
        </w:rPr>
      </w:pPr>
    </w:p>
    <w:p w:rsidR="00EB3823" w:rsidRDefault="0000000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hr-HR"/>
        </w:rPr>
      </w:pPr>
      <w:r>
        <w:rPr>
          <w:rFonts w:ascii="Calibri" w:eastAsia="Times New Roman" w:hAnsi="Calibri" w:cs="Times New Roman"/>
          <w:sz w:val="24"/>
          <w:szCs w:val="20"/>
          <w:lang w:eastAsia="hr-HR"/>
        </w:rPr>
        <w:t>Financijski izvještaji Ustanove za razdoblje od siječnja do prosinca 202</w:t>
      </w:r>
      <w:r w:rsidR="00C33365">
        <w:rPr>
          <w:rFonts w:ascii="Calibri" w:eastAsia="Times New Roman" w:hAnsi="Calibri" w:cs="Times New Roman"/>
          <w:sz w:val="24"/>
          <w:szCs w:val="20"/>
          <w:lang w:eastAsia="hr-HR"/>
        </w:rPr>
        <w:t>5</w:t>
      </w:r>
      <w:r>
        <w:rPr>
          <w:rFonts w:ascii="Calibri" w:eastAsia="Times New Roman" w:hAnsi="Calibri" w:cs="Times New Roman"/>
          <w:sz w:val="24"/>
          <w:szCs w:val="20"/>
          <w:lang w:eastAsia="hr-HR"/>
        </w:rPr>
        <w:t>. godine sačinjeni su sukladno odredbama Pravilnika o proračunskom računovodstvu i Računskom planu te Pravilnika o financijskom izvještavanju u proračunskom računovodstvu.</w:t>
      </w:r>
    </w:p>
    <w:p w:rsidR="00EB3823" w:rsidRDefault="00EB382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EB3823" w:rsidRDefault="00000000">
      <w:pPr>
        <w:pStyle w:val="Heading4"/>
        <w:ind w:left="0" w:firstLine="0"/>
        <w:rPr>
          <w:rFonts w:ascii="Calibri" w:hAnsi="Calibri"/>
          <w:b w:val="0"/>
          <w:i w:val="0"/>
          <w:iCs w:val="0"/>
          <w:sz w:val="24"/>
          <w:szCs w:val="20"/>
          <w:lang w:eastAsia="hr-HR"/>
        </w:rPr>
      </w:pPr>
      <w:r>
        <w:rPr>
          <w:rFonts w:ascii="Calibri" w:hAnsi="Calibri"/>
          <w:b w:val="0"/>
          <w:i w:val="0"/>
          <w:iCs w:val="0"/>
          <w:sz w:val="24"/>
          <w:szCs w:val="20"/>
          <w:lang w:eastAsia="hr-HR"/>
        </w:rPr>
        <w:t>Poslovanje ustanove obavlja se putem žiro računa otvorenog kod:</w:t>
      </w:r>
    </w:p>
    <w:p w:rsidR="00EB3823" w:rsidRDefault="00000000">
      <w:pPr>
        <w:pStyle w:val="Heading4"/>
        <w:ind w:left="0" w:firstLine="0"/>
        <w:rPr>
          <w:rFonts w:ascii="Calibri" w:hAnsi="Calibri"/>
          <w:b w:val="0"/>
          <w:i w:val="0"/>
          <w:iCs w:val="0"/>
          <w:sz w:val="24"/>
          <w:szCs w:val="20"/>
          <w:lang w:eastAsia="hr-HR"/>
        </w:rPr>
      </w:pPr>
      <w:r>
        <w:rPr>
          <w:rFonts w:ascii="Calibri" w:hAnsi="Calibri"/>
          <w:b w:val="0"/>
          <w:i w:val="0"/>
          <w:iCs w:val="0"/>
          <w:sz w:val="24"/>
          <w:szCs w:val="20"/>
          <w:lang w:eastAsia="hr-HR"/>
        </w:rPr>
        <w:t>OTP banka d.d., Zadar broj: HR3324070001100019714.</w:t>
      </w:r>
    </w:p>
    <w:p w:rsidR="00EB3823" w:rsidRDefault="00000000">
      <w:pPr>
        <w:jc w:val="both"/>
      </w:pPr>
      <w:r>
        <w:rPr>
          <w:rFonts w:ascii="Calibri" w:eastAsia="Times New Roman" w:hAnsi="Calibri" w:cs="Times New Roman"/>
          <w:sz w:val="24"/>
          <w:szCs w:val="20"/>
          <w:lang w:eastAsia="hr-HR"/>
        </w:rPr>
        <w:t>HPB d.d.: HR9623900011100914872</w:t>
      </w:r>
    </w:p>
    <w:p w:rsidR="00EB3823" w:rsidRDefault="00EB382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EB3823" w:rsidRDefault="00EB382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Cs/>
          <w:sz w:val="24"/>
          <w:szCs w:val="24"/>
        </w:rPr>
      </w:pPr>
    </w:p>
    <w:p w:rsidR="00EB3823" w:rsidRDefault="00EB382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Cs/>
          <w:sz w:val="24"/>
          <w:szCs w:val="24"/>
        </w:rPr>
      </w:pPr>
    </w:p>
    <w:p w:rsidR="00EB3823" w:rsidRDefault="00EB382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Cs/>
          <w:sz w:val="24"/>
          <w:szCs w:val="24"/>
        </w:rPr>
      </w:pPr>
    </w:p>
    <w:p w:rsidR="00EB3823" w:rsidRDefault="00000000">
      <w:pPr>
        <w:pStyle w:val="Heading2"/>
      </w:pPr>
      <w:bookmarkStart w:id="3" w:name="_Toc943781"/>
      <w:bookmarkStart w:id="4" w:name="_Toc495932298"/>
      <w:bookmarkStart w:id="5" w:name="_Toc495930801"/>
      <w:r>
        <w:lastRenderedPageBreak/>
        <w:t>Bilješke  uz  Izvještaj  o  prihodima  i  rashodima, primicima  i  izdacima  za  razdoblje 1. siječnja – 31. prosinca 202</w:t>
      </w:r>
      <w:r w:rsidR="00B16082">
        <w:t>5</w:t>
      </w:r>
      <w:r>
        <w:t>.  godine</w:t>
      </w:r>
      <w:bookmarkEnd w:id="3"/>
    </w:p>
    <w:bookmarkEnd w:id="4"/>
    <w:bookmarkEnd w:id="5"/>
    <w:p w:rsidR="00EB3823" w:rsidRDefault="00EB3823">
      <w:pPr>
        <w:pStyle w:val="Heading2"/>
        <w:numPr>
          <w:ilvl w:val="0"/>
          <w:numId w:val="0"/>
        </w:numPr>
        <w:ind w:left="1776"/>
      </w:pPr>
    </w:p>
    <w:p w:rsidR="00EB3823" w:rsidRDefault="00EB3823">
      <w:pPr>
        <w:rPr>
          <w:lang w:eastAsia="hr-HR"/>
        </w:rPr>
      </w:pPr>
    </w:p>
    <w:p w:rsidR="00EB3823" w:rsidRDefault="00000000">
      <w:pPr>
        <w:pStyle w:val="Heading4"/>
      </w:pPr>
      <w:bookmarkStart w:id="6" w:name="_Toc943782"/>
      <w:r>
        <w:t>2.1. Prihodi poslovanja</w:t>
      </w:r>
      <w:bookmarkEnd w:id="6"/>
    </w:p>
    <w:p w:rsidR="00EB3823" w:rsidRDefault="00EB3823">
      <w:pPr>
        <w:pStyle w:val="Heading4"/>
      </w:pPr>
    </w:p>
    <w:p w:rsidR="00EB3823" w:rsidRDefault="00000000">
      <w:pPr>
        <w:rPr>
          <w:sz w:val="24"/>
          <w:szCs w:val="24"/>
        </w:rPr>
      </w:pPr>
      <w:r>
        <w:rPr>
          <w:sz w:val="24"/>
          <w:szCs w:val="24"/>
        </w:rPr>
        <w:t>U financijskim izvještajima JU NP Mljet prihodi poslovanja su, sukladno članku 20. Pravilnika o proračunskom računovodstvu i Računskom planu, priznati</w:t>
      </w:r>
      <w:r w:rsidR="00E9432D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temelj</w:t>
      </w:r>
      <w:r w:rsidR="00E9432D">
        <w:rPr>
          <w:sz w:val="24"/>
          <w:szCs w:val="24"/>
        </w:rPr>
        <w:t>u</w:t>
      </w:r>
      <w:r>
        <w:rPr>
          <w:sz w:val="24"/>
          <w:szCs w:val="24"/>
        </w:rPr>
        <w:t xml:space="preserve"> modificiranog načela nastanka događaja u onom izvještajnom razdoblju u kojem su postali raspoloživi i mjerljivi.</w:t>
      </w:r>
    </w:p>
    <w:p w:rsidR="00EB3823" w:rsidRDefault="00000000">
      <w:pPr>
        <w:rPr>
          <w:sz w:val="24"/>
          <w:szCs w:val="24"/>
        </w:rPr>
      </w:pPr>
      <w:r>
        <w:rPr>
          <w:sz w:val="24"/>
          <w:szCs w:val="24"/>
        </w:rPr>
        <w:t>U razdoblju od siječnja do prosinca 202</w:t>
      </w:r>
      <w:r w:rsidR="00B16082">
        <w:rPr>
          <w:sz w:val="24"/>
          <w:szCs w:val="24"/>
        </w:rPr>
        <w:t>5</w:t>
      </w:r>
      <w:r>
        <w:rPr>
          <w:sz w:val="24"/>
          <w:szCs w:val="24"/>
        </w:rPr>
        <w:t>. godine ostvarena je sljedeća struktura prihoda poslovanja:</w:t>
      </w:r>
    </w:p>
    <w:tbl>
      <w:tblPr>
        <w:tblW w:w="92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3"/>
        <w:gridCol w:w="4274"/>
        <w:gridCol w:w="708"/>
        <w:gridCol w:w="1276"/>
        <w:gridCol w:w="1276"/>
        <w:gridCol w:w="1041"/>
      </w:tblGrid>
      <w:tr w:rsidR="00EB3823">
        <w:trPr>
          <w:trHeight w:val="11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80"/>
            </w:tcBorders>
            <w:shd w:val="pct25" w:color="C0C0C0" w:fill="FFFFFF"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Račun iz rač. plana</w:t>
            </w:r>
          </w:p>
        </w:tc>
        <w:tc>
          <w:tcPr>
            <w:tcW w:w="4274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pct25" w:color="C0C0C0" w:fill="FFFFFF"/>
            <w:noWrap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 stavke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pct25" w:color="C0C0C0" w:fill="FFFFFF"/>
            <w:noWrap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Šifra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pct25" w:color="C0C0C0" w:fill="FFFFFF"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Ostvareno u izvještajnom razdoblju prethodne godine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pct25" w:color="C0C0C0" w:fill="FFFFFF"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Ostvareno u izvještajnom razdoblju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tekuće godine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25" w:color="C0C0C0" w:fill="FFFFFF"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(5/4)</w:t>
            </w:r>
          </w:p>
        </w:tc>
      </w:tr>
      <w:tr w:rsidR="00EB3823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80"/>
            </w:tcBorders>
            <w:shd w:val="clear" w:color="000000" w:fill="FFFFCC"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80"/>
            </w:tcBorders>
            <w:shd w:val="clear" w:color="000000" w:fill="FFFFCC"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80"/>
            </w:tcBorders>
            <w:shd w:val="clear" w:color="000000" w:fill="FFFFCC"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80"/>
            </w:tcBorders>
            <w:shd w:val="clear" w:color="000000" w:fill="FFFFCC"/>
            <w:noWrap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80"/>
            </w:tcBorders>
            <w:shd w:val="clear" w:color="000000" w:fill="FFFFCC"/>
            <w:noWrap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6</w:t>
            </w:r>
          </w:p>
        </w:tc>
      </w:tr>
      <w:tr w:rsidR="00EB3823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000000" w:fill="F2F2F2"/>
            <w:vAlign w:val="center"/>
          </w:tcPr>
          <w:p w:rsidR="00EB38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hr-HR"/>
              </w:rPr>
              <w:t>Prihodi poslovanja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000000" w:fill="F2F2F2"/>
            <w:noWrap/>
            <w:vAlign w:val="center"/>
          </w:tcPr>
          <w:p w:rsidR="00EB38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000000" w:fill="F2F2F2"/>
            <w:noWrap/>
            <w:vAlign w:val="center"/>
          </w:tcPr>
          <w:p w:rsidR="00EB38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000000" w:fill="F2F2F2"/>
            <w:noWrap/>
            <w:vAlign w:val="center"/>
          </w:tcPr>
          <w:p w:rsidR="00EB38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hr-H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F2F2F2"/>
            <w:noWrap/>
            <w:vAlign w:val="center"/>
          </w:tcPr>
          <w:p w:rsidR="00EB38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hr-HR"/>
              </w:rPr>
              <w:t> </w:t>
            </w:r>
          </w:p>
        </w:tc>
      </w:tr>
      <w:tr w:rsidR="00BA5418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PRIHODI POSLOVANJA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hr-HR"/>
              </w:rPr>
              <w:t>3.266.890,80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hr-HR"/>
              </w:rPr>
              <w:t>3.466.356,01</w:t>
            </w:r>
          </w:p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n-US"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hr-HR"/>
              </w:rPr>
              <w:t>106,1</w:t>
            </w:r>
          </w:p>
        </w:tc>
      </w:tr>
      <w:tr w:rsidR="00BA5418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Pomoći iz inozemstva i od subjekata unutar općeg proračuna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254.983,10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481.560,47</w:t>
            </w:r>
          </w:p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188,9</w:t>
            </w:r>
          </w:p>
        </w:tc>
      </w:tr>
      <w:tr w:rsidR="00BA5418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Prihodi od imovine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29,67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44,48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149,9</w:t>
            </w:r>
          </w:p>
        </w:tc>
      </w:tr>
      <w:tr w:rsidR="00BA5418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Prihodi od upravnih i administrativnih pristojbi, pristojbi po posebnim propisima i naknada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2.548.964,52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2.559.200,26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100,4</w:t>
            </w:r>
          </w:p>
        </w:tc>
      </w:tr>
      <w:tr w:rsidR="00BA5418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Prihodi od prodaje proizvoda i robe te pruženih usluga i prihodi od donacija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247.911,73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268.145,24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108,2</w:t>
            </w:r>
          </w:p>
        </w:tc>
      </w:tr>
      <w:tr w:rsidR="00BA5418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Prihodi iz nadležnog proračuna i od HZZO-a na temelju ugovornih obveza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210.935,47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149.990,51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71,1</w:t>
            </w:r>
          </w:p>
        </w:tc>
      </w:tr>
      <w:tr w:rsidR="00BA5418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4.066,31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7.415,05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182,4</w:t>
            </w:r>
          </w:p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</w:p>
        </w:tc>
      </w:tr>
      <w:tr w:rsidR="00BA5418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PRIHODI POSLOVANJA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hr-HR"/>
              </w:rPr>
              <w:t>12.120,00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hr-HR"/>
              </w:rPr>
              <w:t>1.200,00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9,9</w:t>
            </w:r>
          </w:p>
        </w:tc>
      </w:tr>
      <w:tr w:rsidR="00BA5418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Prihodi od prodaje proizvedene dugotrajne imovine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</w:tcPr>
          <w:p w:rsidR="00BA5418" w:rsidRDefault="00BA5418" w:rsidP="00BA5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12.120,00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1.200,00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BA5418" w:rsidRDefault="00BA5418" w:rsidP="00BA5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9,9</w:t>
            </w:r>
          </w:p>
        </w:tc>
      </w:tr>
    </w:tbl>
    <w:p w:rsidR="00EB3823" w:rsidRDefault="00EB3823">
      <w:pPr>
        <w:pStyle w:val="Heading4"/>
      </w:pPr>
      <w:bookmarkStart w:id="7" w:name="_Toc943783"/>
    </w:p>
    <w:p w:rsidR="00EB3823" w:rsidRDefault="00000000">
      <w:pPr>
        <w:pStyle w:val="Heading5"/>
        <w:numPr>
          <w:ilvl w:val="0"/>
          <w:numId w:val="0"/>
        </w:numPr>
        <w:ind w:left="708"/>
      </w:pPr>
      <w:r>
        <w:t>2.1.1. Pomoći iz inozemstva i od subjekata unutar općeg proračuna - grupa konta 63 – Šifra 63</w:t>
      </w:r>
      <w:bookmarkEnd w:id="7"/>
    </w:p>
    <w:p w:rsidR="00EB3823" w:rsidRDefault="00EB3823">
      <w:pPr>
        <w:rPr>
          <w:b/>
          <w:bCs/>
          <w:i/>
          <w:iCs/>
          <w:sz w:val="24"/>
          <w:szCs w:val="24"/>
        </w:rPr>
      </w:pPr>
    </w:p>
    <w:p w:rsidR="00EB3823" w:rsidRDefault="00000000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Prihodi iz inozemstva i od subjekata unutar općeg proračuna sastoje se od:</w:t>
      </w:r>
    </w:p>
    <w:p w:rsidR="00EB3823" w:rsidRDefault="00000000">
      <w:pPr>
        <w:pStyle w:val="ListParagraph"/>
        <w:numPr>
          <w:ilvl w:val="0"/>
          <w:numId w:val="5"/>
        </w:numPr>
        <w:rPr>
          <w:rFonts w:asciiTheme="minorHAnsi" w:hAnsiTheme="minorHAnsi"/>
          <w:b w:val="0"/>
          <w:bCs/>
          <w:iCs/>
          <w:sz w:val="24"/>
          <w:szCs w:val="24"/>
        </w:rPr>
      </w:pPr>
      <w:r>
        <w:rPr>
          <w:rFonts w:asciiTheme="minorHAnsi" w:hAnsiTheme="minorHAnsi"/>
          <w:b w:val="0"/>
          <w:bCs/>
          <w:iCs/>
          <w:sz w:val="24"/>
          <w:szCs w:val="24"/>
        </w:rPr>
        <w:t>Tekuće pomoći od izvanproračunskih korisnika</w:t>
      </w:r>
      <w:r>
        <w:rPr>
          <w:rFonts w:asciiTheme="minorHAnsi" w:hAnsiTheme="minorHAnsi"/>
          <w:b w:val="0"/>
          <w:bCs/>
          <w:iCs/>
          <w:sz w:val="24"/>
          <w:szCs w:val="24"/>
        </w:rPr>
        <w:tab/>
      </w:r>
      <w:r>
        <w:rPr>
          <w:rFonts w:asciiTheme="minorHAnsi" w:hAnsiTheme="minorHAnsi"/>
          <w:b w:val="0"/>
          <w:bCs/>
          <w:iCs/>
          <w:sz w:val="24"/>
          <w:szCs w:val="24"/>
        </w:rPr>
        <w:tab/>
      </w:r>
      <w:r>
        <w:rPr>
          <w:rFonts w:asciiTheme="minorHAnsi" w:hAnsiTheme="minorHAnsi"/>
          <w:b w:val="0"/>
          <w:bCs/>
          <w:iCs/>
          <w:sz w:val="24"/>
          <w:szCs w:val="24"/>
        </w:rPr>
        <w:tab/>
        <w:t xml:space="preserve">       </w:t>
      </w:r>
      <w:r w:rsidR="001D177B">
        <w:rPr>
          <w:rFonts w:asciiTheme="minorHAnsi" w:hAnsiTheme="minorHAnsi"/>
          <w:b w:val="0"/>
          <w:bCs/>
          <w:iCs/>
          <w:sz w:val="24"/>
          <w:szCs w:val="24"/>
        </w:rPr>
        <w:t xml:space="preserve">109.660,47 </w:t>
      </w:r>
      <w:r>
        <w:rPr>
          <w:rFonts w:asciiTheme="minorHAnsi" w:hAnsiTheme="minorHAnsi"/>
          <w:b w:val="0"/>
          <w:bCs/>
          <w:iCs/>
          <w:sz w:val="24"/>
          <w:szCs w:val="24"/>
        </w:rPr>
        <w:t>eura</w:t>
      </w:r>
    </w:p>
    <w:p w:rsidR="001D177B" w:rsidRDefault="001D177B">
      <w:pPr>
        <w:pStyle w:val="ListParagraph"/>
        <w:numPr>
          <w:ilvl w:val="0"/>
          <w:numId w:val="5"/>
        </w:numPr>
        <w:rPr>
          <w:rFonts w:asciiTheme="minorHAnsi" w:hAnsiTheme="minorHAnsi"/>
          <w:b w:val="0"/>
          <w:bCs/>
          <w:iCs/>
          <w:sz w:val="24"/>
          <w:szCs w:val="24"/>
        </w:rPr>
      </w:pPr>
      <w:r>
        <w:rPr>
          <w:rFonts w:asciiTheme="minorHAnsi" w:hAnsiTheme="minorHAnsi"/>
          <w:b w:val="0"/>
          <w:bCs/>
          <w:iCs/>
          <w:sz w:val="24"/>
          <w:szCs w:val="24"/>
        </w:rPr>
        <w:t>Tekući prijenosi između proračunskih korisnika istog proračuna</w:t>
      </w:r>
      <w:r>
        <w:rPr>
          <w:rFonts w:asciiTheme="minorHAnsi" w:hAnsiTheme="minorHAnsi"/>
          <w:b w:val="0"/>
          <w:bCs/>
          <w:iCs/>
          <w:sz w:val="24"/>
          <w:szCs w:val="24"/>
        </w:rPr>
        <w:tab/>
        <w:t xml:space="preserve">         61.200,00 eura</w:t>
      </w:r>
    </w:p>
    <w:p w:rsidR="00EB3823" w:rsidRDefault="00000000">
      <w:pPr>
        <w:pStyle w:val="ListParagraph"/>
        <w:numPr>
          <w:ilvl w:val="0"/>
          <w:numId w:val="5"/>
        </w:numPr>
        <w:rPr>
          <w:rFonts w:asciiTheme="minorHAnsi" w:hAnsiTheme="minorHAnsi"/>
          <w:b w:val="0"/>
          <w:bCs/>
          <w:iCs/>
          <w:sz w:val="24"/>
          <w:szCs w:val="24"/>
        </w:rPr>
      </w:pPr>
      <w:r>
        <w:rPr>
          <w:rFonts w:asciiTheme="minorHAnsi" w:hAnsiTheme="minorHAnsi"/>
          <w:b w:val="0"/>
          <w:bCs/>
          <w:iCs/>
          <w:sz w:val="24"/>
          <w:szCs w:val="24"/>
        </w:rPr>
        <w:t>Kapitaln</w:t>
      </w:r>
      <w:r w:rsidR="001D177B">
        <w:rPr>
          <w:rFonts w:asciiTheme="minorHAnsi" w:hAnsiTheme="minorHAnsi"/>
          <w:b w:val="0"/>
          <w:bCs/>
          <w:iCs/>
          <w:sz w:val="24"/>
          <w:szCs w:val="24"/>
        </w:rPr>
        <w:t>i prijenosi između proračunskih korisnika istog proračuna</w:t>
      </w:r>
      <w:r>
        <w:rPr>
          <w:rFonts w:asciiTheme="minorHAnsi" w:hAnsiTheme="minorHAnsi"/>
          <w:b w:val="0"/>
          <w:bCs/>
          <w:iCs/>
          <w:sz w:val="24"/>
          <w:szCs w:val="24"/>
        </w:rPr>
        <w:tab/>
      </w:r>
      <w:r w:rsidR="001D177B">
        <w:rPr>
          <w:rFonts w:asciiTheme="minorHAnsi" w:hAnsiTheme="minorHAnsi"/>
          <w:b w:val="0"/>
          <w:bCs/>
          <w:iCs/>
          <w:sz w:val="24"/>
          <w:szCs w:val="24"/>
        </w:rPr>
        <w:t xml:space="preserve">       </w:t>
      </w:r>
      <w:r>
        <w:rPr>
          <w:rFonts w:asciiTheme="minorHAnsi" w:hAnsiTheme="minorHAnsi"/>
          <w:b w:val="0"/>
          <w:bCs/>
          <w:iCs/>
          <w:sz w:val="24"/>
          <w:szCs w:val="24"/>
        </w:rPr>
        <w:t xml:space="preserve">165.955,38 eura  </w:t>
      </w:r>
    </w:p>
    <w:p w:rsidR="00EB3823" w:rsidRDefault="00000000">
      <w:pPr>
        <w:pStyle w:val="ListParagraph"/>
        <w:ind w:left="643"/>
        <w:rPr>
          <w:rFonts w:asciiTheme="minorHAnsi" w:hAnsiTheme="minorHAnsi"/>
          <w:b w:val="0"/>
          <w:bCs/>
          <w:iCs/>
          <w:sz w:val="24"/>
          <w:szCs w:val="24"/>
        </w:rPr>
      </w:pPr>
      <w:r>
        <w:rPr>
          <w:rFonts w:asciiTheme="minorHAnsi" w:hAnsiTheme="minorHAnsi"/>
          <w:b w:val="0"/>
          <w:bCs/>
          <w:iCs/>
          <w:sz w:val="24"/>
          <w:szCs w:val="24"/>
        </w:rPr>
        <w:lastRenderedPageBreak/>
        <w:tab/>
      </w:r>
    </w:p>
    <w:p w:rsidR="00EB3823" w:rsidRDefault="00000000">
      <w:pPr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Indeks šifre 63 je</w:t>
      </w:r>
      <w:r w:rsidR="003E741F">
        <w:rPr>
          <w:bCs/>
          <w:i/>
          <w:iCs/>
          <w:sz w:val="24"/>
          <w:szCs w:val="24"/>
        </w:rPr>
        <w:t xml:space="preserve"> 188,9</w:t>
      </w:r>
      <w:r>
        <w:rPr>
          <w:bCs/>
          <w:i/>
          <w:iCs/>
          <w:sz w:val="24"/>
          <w:szCs w:val="24"/>
        </w:rPr>
        <w:t xml:space="preserve">  – Glavni razlog </w:t>
      </w:r>
      <w:r w:rsidR="003E741F">
        <w:rPr>
          <w:bCs/>
          <w:i/>
          <w:iCs/>
          <w:sz w:val="24"/>
          <w:szCs w:val="24"/>
        </w:rPr>
        <w:t>povećanja</w:t>
      </w:r>
      <w:r>
        <w:rPr>
          <w:bCs/>
          <w:i/>
          <w:iCs/>
          <w:sz w:val="24"/>
          <w:szCs w:val="24"/>
        </w:rPr>
        <w:t xml:space="preserve"> je </w:t>
      </w:r>
      <w:r w:rsidR="002E6E95">
        <w:rPr>
          <w:bCs/>
          <w:i/>
          <w:iCs/>
          <w:sz w:val="24"/>
          <w:szCs w:val="24"/>
        </w:rPr>
        <w:t>završeni projekti</w:t>
      </w:r>
      <w:r w:rsidR="003E741F">
        <w:rPr>
          <w:bCs/>
          <w:i/>
          <w:iCs/>
          <w:sz w:val="24"/>
          <w:szCs w:val="24"/>
        </w:rPr>
        <w:t xml:space="preserve"> Posjetiteljska in</w:t>
      </w:r>
      <w:r w:rsidR="002C2CB6">
        <w:rPr>
          <w:bCs/>
          <w:i/>
          <w:iCs/>
          <w:sz w:val="24"/>
          <w:szCs w:val="24"/>
        </w:rPr>
        <w:t>f</w:t>
      </w:r>
      <w:r w:rsidR="003E741F">
        <w:rPr>
          <w:bCs/>
          <w:i/>
          <w:iCs/>
          <w:sz w:val="24"/>
          <w:szCs w:val="24"/>
        </w:rPr>
        <w:t>rastruktura i Posje</w:t>
      </w:r>
      <w:r w:rsidR="002C2CB6">
        <w:rPr>
          <w:bCs/>
          <w:i/>
          <w:iCs/>
          <w:sz w:val="24"/>
          <w:szCs w:val="24"/>
        </w:rPr>
        <w:t>ć</w:t>
      </w:r>
      <w:r w:rsidR="003E741F">
        <w:rPr>
          <w:bCs/>
          <w:i/>
          <w:iCs/>
          <w:sz w:val="24"/>
          <w:szCs w:val="24"/>
        </w:rPr>
        <w:t xml:space="preserve">ivanje i interpretacija. </w:t>
      </w:r>
      <w:r>
        <w:rPr>
          <w:bCs/>
          <w:i/>
          <w:iCs/>
          <w:sz w:val="24"/>
          <w:szCs w:val="24"/>
        </w:rPr>
        <w:t>U 2024. godini  započeli smo Projekt izrade  projektne dokumentacije za prijavu projekta za financiranje iz Programa Konkurentnost i kohezija 2021.-2027. i u toku je Projekt kontrole populacije prioritetnih invazivnih stranih vrsta “Uklanjanje malog indijskog mungosa ( Herpestes javanicus auropunctatus) s nenaseljenih otočića Kobrava, Tajnik i Moračnik u Nacionalno</w:t>
      </w:r>
      <w:r w:rsidR="002E6E95">
        <w:rPr>
          <w:bCs/>
          <w:i/>
          <w:iCs/>
          <w:sz w:val="24"/>
          <w:szCs w:val="24"/>
        </w:rPr>
        <w:t>m</w:t>
      </w:r>
      <w:r>
        <w:rPr>
          <w:bCs/>
          <w:i/>
          <w:iCs/>
          <w:sz w:val="24"/>
          <w:szCs w:val="24"/>
        </w:rPr>
        <w:t xml:space="preserve"> parku Mljet. </w:t>
      </w:r>
    </w:p>
    <w:p w:rsidR="00EB3823" w:rsidRDefault="00000000">
      <w:pPr>
        <w:pStyle w:val="Heading5"/>
        <w:numPr>
          <w:ilvl w:val="0"/>
          <w:numId w:val="0"/>
        </w:numPr>
        <w:ind w:left="708"/>
      </w:pPr>
      <w:bookmarkStart w:id="8" w:name="_Toc943784"/>
      <w:r>
        <w:t xml:space="preserve">2.1.2. Prihodi od imovine - grupa konta 64 – </w:t>
      </w:r>
      <w:bookmarkEnd w:id="8"/>
      <w:r>
        <w:t>Šifra 64</w:t>
      </w:r>
    </w:p>
    <w:p w:rsidR="00EB3823" w:rsidRDefault="00EB3823"/>
    <w:p w:rsidR="00EB3823" w:rsidRDefault="00000000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Prihodi od imovine sastoje se od:</w:t>
      </w:r>
    </w:p>
    <w:p w:rsidR="00EB3823" w:rsidRDefault="00000000">
      <w:pPr>
        <w:numPr>
          <w:ilvl w:val="0"/>
          <w:numId w:val="5"/>
        </w:numPr>
        <w:spacing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kamata na depozite po viđenju 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 xml:space="preserve">        </w:t>
      </w:r>
      <w:r>
        <w:rPr>
          <w:bCs/>
          <w:iCs/>
          <w:sz w:val="24"/>
          <w:szCs w:val="24"/>
        </w:rPr>
        <w:tab/>
        <w:t xml:space="preserve">  </w:t>
      </w:r>
      <w:r w:rsidR="00F0082C">
        <w:rPr>
          <w:bCs/>
          <w:iCs/>
          <w:sz w:val="24"/>
          <w:szCs w:val="24"/>
        </w:rPr>
        <w:t>44,48</w:t>
      </w:r>
      <w:r>
        <w:rPr>
          <w:bCs/>
          <w:iCs/>
          <w:sz w:val="24"/>
          <w:szCs w:val="24"/>
        </w:rPr>
        <w:t xml:space="preserve"> eura</w:t>
      </w:r>
    </w:p>
    <w:p w:rsidR="00EB3823" w:rsidRDefault="00EB3823">
      <w:pPr>
        <w:rPr>
          <w:bCs/>
          <w:i/>
          <w:iCs/>
          <w:sz w:val="24"/>
          <w:szCs w:val="24"/>
        </w:rPr>
      </w:pPr>
    </w:p>
    <w:p w:rsidR="00EB3823" w:rsidRDefault="00000000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Indeks šifre 64 je 149,5 – zbog povećanja sredstava na računima ostvaren je viši prihod na depozite po viđenju.</w:t>
      </w:r>
    </w:p>
    <w:p w:rsidR="00EB3823" w:rsidRDefault="00EB3823">
      <w:pPr>
        <w:pStyle w:val="Heading5"/>
        <w:numPr>
          <w:ilvl w:val="0"/>
          <w:numId w:val="0"/>
        </w:numPr>
        <w:ind w:left="708"/>
      </w:pPr>
    </w:p>
    <w:p w:rsidR="00EB3823" w:rsidRDefault="00000000">
      <w:pPr>
        <w:pStyle w:val="Heading5"/>
        <w:numPr>
          <w:ilvl w:val="0"/>
          <w:numId w:val="0"/>
        </w:numPr>
        <w:ind w:left="708"/>
      </w:pPr>
      <w:bookmarkStart w:id="9" w:name="_Toc943785"/>
      <w:r>
        <w:t>2.1.3. Prihodi od upravnih i administrativnih pristojbi, pristojbi po posebnim propisima i naknada</w:t>
      </w:r>
      <w:bookmarkEnd w:id="9"/>
      <w:r>
        <w:t xml:space="preserve"> – grupa konta 65 – Šifra 65</w:t>
      </w:r>
    </w:p>
    <w:p w:rsidR="00EB3823" w:rsidRDefault="00EB3823"/>
    <w:p w:rsidR="00EB3823" w:rsidRDefault="00000000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Prihodi od upravnih i administrativnih pristojbi, pristojbi po posebnim propisima i naknada sastoje se od:</w:t>
      </w:r>
    </w:p>
    <w:p w:rsidR="00EB3823" w:rsidRDefault="00000000">
      <w:pPr>
        <w:numPr>
          <w:ilvl w:val="0"/>
          <w:numId w:val="5"/>
        </w:num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prihoda od ulaznica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 xml:space="preserve">                 2.5</w:t>
      </w:r>
      <w:r w:rsidR="0080319A">
        <w:rPr>
          <w:bCs/>
          <w:iCs/>
          <w:sz w:val="24"/>
          <w:szCs w:val="24"/>
        </w:rPr>
        <w:t>59.200,26</w:t>
      </w:r>
      <w:r>
        <w:rPr>
          <w:bCs/>
          <w:iCs/>
          <w:sz w:val="24"/>
          <w:szCs w:val="24"/>
        </w:rPr>
        <w:t xml:space="preserve"> eura</w:t>
      </w:r>
    </w:p>
    <w:p w:rsidR="00EB3823" w:rsidRDefault="00EB3823">
      <w:pPr>
        <w:rPr>
          <w:bCs/>
          <w:iCs/>
          <w:sz w:val="24"/>
          <w:szCs w:val="24"/>
        </w:rPr>
      </w:pPr>
    </w:p>
    <w:p w:rsidR="00EB3823" w:rsidRDefault="00000000">
      <w:pPr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Indeks šifre 65 iznosi 10</w:t>
      </w:r>
      <w:r w:rsidR="0080319A">
        <w:rPr>
          <w:bCs/>
          <w:i/>
          <w:iCs/>
          <w:sz w:val="24"/>
          <w:szCs w:val="24"/>
        </w:rPr>
        <w:t>0</w:t>
      </w:r>
      <w:r>
        <w:rPr>
          <w:bCs/>
          <w:i/>
          <w:iCs/>
          <w:sz w:val="24"/>
          <w:szCs w:val="24"/>
        </w:rPr>
        <w:t>,</w:t>
      </w:r>
      <w:r w:rsidR="0080319A">
        <w:rPr>
          <w:bCs/>
          <w:i/>
          <w:iCs/>
          <w:sz w:val="24"/>
          <w:szCs w:val="24"/>
        </w:rPr>
        <w:t>4</w:t>
      </w:r>
      <w:r>
        <w:rPr>
          <w:bCs/>
          <w:i/>
          <w:iCs/>
          <w:sz w:val="24"/>
          <w:szCs w:val="24"/>
        </w:rPr>
        <w:t xml:space="preserve"> - ostvareni su</w:t>
      </w:r>
      <w:r w:rsidR="0080319A">
        <w:rPr>
          <w:bCs/>
          <w:i/>
          <w:iCs/>
          <w:sz w:val="24"/>
          <w:szCs w:val="24"/>
        </w:rPr>
        <w:t xml:space="preserve"> malo</w:t>
      </w:r>
      <w:r>
        <w:rPr>
          <w:bCs/>
          <w:i/>
          <w:iCs/>
          <w:sz w:val="24"/>
          <w:szCs w:val="24"/>
        </w:rPr>
        <w:t xml:space="preserve"> viši prihodi u odnosu na prošlu godinu zbog ostvarenog </w:t>
      </w:r>
      <w:r w:rsidR="0080319A">
        <w:rPr>
          <w:bCs/>
          <w:i/>
          <w:iCs/>
          <w:sz w:val="24"/>
          <w:szCs w:val="24"/>
        </w:rPr>
        <w:t xml:space="preserve">malo </w:t>
      </w:r>
      <w:r>
        <w:rPr>
          <w:bCs/>
          <w:i/>
          <w:iCs/>
          <w:sz w:val="24"/>
          <w:szCs w:val="24"/>
        </w:rPr>
        <w:t>većeg broja posjetitelja i prodanih ulaznica.</w:t>
      </w:r>
    </w:p>
    <w:p w:rsidR="00EB3823" w:rsidRDefault="00000000">
      <w:pPr>
        <w:pStyle w:val="Heading5"/>
        <w:numPr>
          <w:ilvl w:val="0"/>
          <w:numId w:val="0"/>
        </w:numPr>
        <w:ind w:left="708"/>
      </w:pPr>
      <w:bookmarkStart w:id="10" w:name="_Toc943786"/>
      <w:r>
        <w:t xml:space="preserve">2.1.4. Prihodi od prodaje robe i pruženih usluga - grupa konta 66 – </w:t>
      </w:r>
      <w:bookmarkEnd w:id="10"/>
      <w:r>
        <w:t>Šifra 66</w:t>
      </w:r>
    </w:p>
    <w:p w:rsidR="00EB3823" w:rsidRDefault="00EB3823">
      <w:pPr>
        <w:spacing w:after="0"/>
        <w:rPr>
          <w:bCs/>
          <w:iCs/>
          <w:sz w:val="24"/>
          <w:szCs w:val="24"/>
        </w:rPr>
      </w:pPr>
    </w:p>
    <w:p w:rsidR="00EB3823" w:rsidRDefault="00000000">
      <w:pPr>
        <w:spacing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Prihodi od prodaje robe i pruženih usluga sastoje se od:</w:t>
      </w:r>
    </w:p>
    <w:p w:rsidR="00EB3823" w:rsidRDefault="00000000">
      <w:pPr>
        <w:numPr>
          <w:ilvl w:val="0"/>
          <w:numId w:val="5"/>
        </w:numPr>
        <w:spacing w:after="0"/>
        <w:jc w:val="both"/>
        <w:rPr>
          <w:bCs/>
          <w:i/>
          <w:iCs/>
          <w:sz w:val="24"/>
          <w:szCs w:val="24"/>
        </w:rPr>
      </w:pPr>
      <w:r>
        <w:rPr>
          <w:bCs/>
          <w:iCs/>
          <w:sz w:val="24"/>
          <w:szCs w:val="24"/>
        </w:rPr>
        <w:t>prihoda od prodaje suvenira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 xml:space="preserve">       1</w:t>
      </w:r>
      <w:r w:rsidR="00F05C24">
        <w:rPr>
          <w:bCs/>
          <w:iCs/>
          <w:sz w:val="24"/>
          <w:szCs w:val="24"/>
        </w:rPr>
        <w:t>52.338,86</w:t>
      </w:r>
      <w:r>
        <w:rPr>
          <w:bCs/>
          <w:iCs/>
          <w:sz w:val="24"/>
          <w:szCs w:val="24"/>
        </w:rPr>
        <w:t xml:space="preserve"> eura</w:t>
      </w:r>
    </w:p>
    <w:p w:rsidR="00EB3823" w:rsidRDefault="00000000">
      <w:pPr>
        <w:numPr>
          <w:ilvl w:val="0"/>
          <w:numId w:val="5"/>
        </w:numPr>
        <w:spacing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prihodi od vođenja  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 xml:space="preserve">                      12</w:t>
      </w:r>
      <w:r w:rsidR="00F05C24">
        <w:rPr>
          <w:bCs/>
          <w:iCs/>
          <w:sz w:val="24"/>
          <w:szCs w:val="24"/>
        </w:rPr>
        <w:t>.069</w:t>
      </w:r>
      <w:r>
        <w:rPr>
          <w:bCs/>
          <w:iCs/>
          <w:sz w:val="24"/>
          <w:szCs w:val="24"/>
        </w:rPr>
        <w:t>,</w:t>
      </w:r>
      <w:r w:rsidR="00F05C24">
        <w:rPr>
          <w:bCs/>
          <w:iCs/>
          <w:sz w:val="24"/>
          <w:szCs w:val="24"/>
        </w:rPr>
        <w:t>52</w:t>
      </w:r>
      <w:r>
        <w:rPr>
          <w:bCs/>
          <w:iCs/>
          <w:sz w:val="24"/>
          <w:szCs w:val="24"/>
        </w:rPr>
        <w:t xml:space="preserve"> eura</w:t>
      </w:r>
    </w:p>
    <w:p w:rsidR="00EB3823" w:rsidRDefault="00000000">
      <w:pPr>
        <w:numPr>
          <w:ilvl w:val="0"/>
          <w:numId w:val="5"/>
        </w:numPr>
        <w:spacing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prihodi od prijevoza posjetitelja i brodskih karata                   </w:t>
      </w:r>
      <w:r>
        <w:rPr>
          <w:bCs/>
          <w:iCs/>
          <w:sz w:val="24"/>
          <w:szCs w:val="24"/>
        </w:rPr>
        <w:tab/>
        <w:t xml:space="preserve">         </w:t>
      </w:r>
      <w:r w:rsidR="00F05C24">
        <w:rPr>
          <w:bCs/>
          <w:iCs/>
          <w:sz w:val="24"/>
          <w:szCs w:val="24"/>
        </w:rPr>
        <w:t xml:space="preserve">  7.176,10</w:t>
      </w:r>
      <w:r>
        <w:rPr>
          <w:bCs/>
          <w:iCs/>
          <w:sz w:val="24"/>
          <w:szCs w:val="24"/>
        </w:rPr>
        <w:t xml:space="preserve"> eura</w:t>
      </w:r>
    </w:p>
    <w:p w:rsidR="00EB3823" w:rsidRDefault="00000000">
      <w:pPr>
        <w:numPr>
          <w:ilvl w:val="0"/>
          <w:numId w:val="5"/>
        </w:numPr>
        <w:spacing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prihodi od koncesijskih odobrenja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 xml:space="preserve">        8</w:t>
      </w:r>
      <w:r w:rsidR="00F05C24">
        <w:rPr>
          <w:bCs/>
          <w:iCs/>
          <w:sz w:val="24"/>
          <w:szCs w:val="24"/>
        </w:rPr>
        <w:t>1</w:t>
      </w:r>
      <w:r>
        <w:rPr>
          <w:bCs/>
          <w:iCs/>
          <w:sz w:val="24"/>
          <w:szCs w:val="24"/>
        </w:rPr>
        <w:t>.</w:t>
      </w:r>
      <w:r w:rsidR="00F05C24">
        <w:rPr>
          <w:bCs/>
          <w:iCs/>
          <w:sz w:val="24"/>
          <w:szCs w:val="24"/>
        </w:rPr>
        <w:t>000,00</w:t>
      </w:r>
      <w:r>
        <w:rPr>
          <w:bCs/>
          <w:iCs/>
          <w:sz w:val="24"/>
          <w:szCs w:val="24"/>
        </w:rPr>
        <w:t xml:space="preserve"> eura</w:t>
      </w:r>
    </w:p>
    <w:p w:rsidR="00EB3823" w:rsidRDefault="00000000">
      <w:pPr>
        <w:numPr>
          <w:ilvl w:val="0"/>
          <w:numId w:val="5"/>
        </w:numPr>
        <w:spacing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prihodi od rekreacijskog ribolova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 xml:space="preserve">           2.</w:t>
      </w:r>
      <w:r w:rsidR="00F05C24">
        <w:rPr>
          <w:bCs/>
          <w:iCs/>
          <w:sz w:val="24"/>
          <w:szCs w:val="24"/>
        </w:rPr>
        <w:t>753,94</w:t>
      </w:r>
      <w:r>
        <w:rPr>
          <w:bCs/>
          <w:iCs/>
          <w:sz w:val="24"/>
          <w:szCs w:val="24"/>
        </w:rPr>
        <w:t xml:space="preserve"> eura</w:t>
      </w:r>
    </w:p>
    <w:p w:rsidR="00EB3823" w:rsidRDefault="00000000">
      <w:pPr>
        <w:numPr>
          <w:ilvl w:val="0"/>
          <w:numId w:val="5"/>
        </w:numPr>
        <w:spacing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prihodi od stanarine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 xml:space="preserve">           3.</w:t>
      </w:r>
      <w:r w:rsidR="00F05C24">
        <w:rPr>
          <w:bCs/>
          <w:iCs/>
          <w:sz w:val="24"/>
          <w:szCs w:val="24"/>
        </w:rPr>
        <w:t>642,32</w:t>
      </w:r>
      <w:r>
        <w:rPr>
          <w:bCs/>
          <w:iCs/>
          <w:sz w:val="24"/>
          <w:szCs w:val="24"/>
        </w:rPr>
        <w:t xml:space="preserve"> eura</w:t>
      </w:r>
    </w:p>
    <w:p w:rsidR="00EB3823" w:rsidRDefault="00EB3823">
      <w:pPr>
        <w:spacing w:after="0"/>
        <w:ind w:left="643"/>
        <w:jc w:val="both"/>
        <w:rPr>
          <w:bCs/>
          <w:iCs/>
          <w:sz w:val="24"/>
          <w:szCs w:val="24"/>
        </w:rPr>
      </w:pPr>
    </w:p>
    <w:p w:rsidR="00EB3823" w:rsidRDefault="00000000">
      <w:pPr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lastRenderedPageBreak/>
        <w:t xml:space="preserve">Indeks šifre 66 iznosi </w:t>
      </w:r>
      <w:r w:rsidR="0096665C">
        <w:rPr>
          <w:bCs/>
          <w:i/>
          <w:iCs/>
          <w:sz w:val="24"/>
          <w:szCs w:val="24"/>
        </w:rPr>
        <w:t>108,2</w:t>
      </w:r>
      <w:r>
        <w:rPr>
          <w:bCs/>
          <w:i/>
          <w:iCs/>
          <w:sz w:val="24"/>
          <w:szCs w:val="24"/>
        </w:rPr>
        <w:t xml:space="preserve"> - ostvareni su </w:t>
      </w:r>
      <w:r w:rsidR="0096665C">
        <w:rPr>
          <w:bCs/>
          <w:i/>
          <w:iCs/>
          <w:sz w:val="24"/>
          <w:szCs w:val="24"/>
        </w:rPr>
        <w:t>viši</w:t>
      </w:r>
      <w:r>
        <w:rPr>
          <w:bCs/>
          <w:i/>
          <w:iCs/>
          <w:sz w:val="24"/>
          <w:szCs w:val="24"/>
        </w:rPr>
        <w:t xml:space="preserve"> prihodi u odnosu na prošlu godinu zbog</w:t>
      </w:r>
      <w:r w:rsidR="0096665C">
        <w:rPr>
          <w:bCs/>
          <w:i/>
          <w:iCs/>
          <w:sz w:val="24"/>
          <w:szCs w:val="24"/>
        </w:rPr>
        <w:t xml:space="preserve"> povećanja prihoda od prodaje suvenira</w:t>
      </w:r>
      <w:r>
        <w:rPr>
          <w:bCs/>
          <w:i/>
          <w:iCs/>
          <w:sz w:val="24"/>
          <w:szCs w:val="24"/>
        </w:rPr>
        <w:t>.</w:t>
      </w:r>
    </w:p>
    <w:p w:rsidR="00EB3823" w:rsidRDefault="00EB3823">
      <w:pPr>
        <w:pStyle w:val="Heading5"/>
        <w:numPr>
          <w:ilvl w:val="0"/>
          <w:numId w:val="0"/>
        </w:numPr>
        <w:ind w:left="708"/>
      </w:pPr>
    </w:p>
    <w:p w:rsidR="00EB3823" w:rsidRDefault="00000000">
      <w:pPr>
        <w:pStyle w:val="Heading5"/>
        <w:numPr>
          <w:ilvl w:val="0"/>
          <w:numId w:val="0"/>
        </w:numPr>
        <w:ind w:left="708"/>
      </w:pPr>
      <w:bookmarkStart w:id="11" w:name="_Toc943787"/>
      <w:r>
        <w:t>2.1.5. Prihodi iz nadležnog proračuna i od HZZO-a na temelju ugovornih obveza - grupa konta 67 –</w:t>
      </w:r>
      <w:bookmarkEnd w:id="11"/>
      <w:r>
        <w:t xml:space="preserve"> Šifra 67           </w:t>
      </w:r>
    </w:p>
    <w:p w:rsidR="00EB3823" w:rsidRDefault="00EB3823">
      <w:pPr>
        <w:rPr>
          <w:bCs/>
          <w:iCs/>
          <w:sz w:val="24"/>
          <w:szCs w:val="24"/>
        </w:rPr>
      </w:pPr>
    </w:p>
    <w:p w:rsidR="00EB3823" w:rsidRDefault="00000000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Prihodi iz nadležnog proračuna i od HZZO-a na temelju ugovorenih obveza realizirani u 202</w:t>
      </w:r>
      <w:r w:rsidR="0096665C">
        <w:rPr>
          <w:bCs/>
          <w:iCs/>
          <w:sz w:val="24"/>
          <w:szCs w:val="24"/>
        </w:rPr>
        <w:t>5</w:t>
      </w:r>
      <w:r>
        <w:rPr>
          <w:bCs/>
          <w:iCs/>
          <w:sz w:val="24"/>
          <w:szCs w:val="24"/>
        </w:rPr>
        <w:t>. godini kao prihod za financiranje plaća zaposlenika JU NP Mljet.</w:t>
      </w:r>
    </w:p>
    <w:p w:rsidR="00EB3823" w:rsidRDefault="00EB3823">
      <w:pPr>
        <w:rPr>
          <w:bCs/>
          <w:iCs/>
          <w:sz w:val="24"/>
          <w:szCs w:val="24"/>
        </w:rPr>
      </w:pPr>
    </w:p>
    <w:p w:rsidR="00EB3823" w:rsidRDefault="00000000">
      <w:pPr>
        <w:pStyle w:val="Heading5"/>
        <w:numPr>
          <w:ilvl w:val="0"/>
          <w:numId w:val="0"/>
        </w:numPr>
        <w:ind w:left="708"/>
      </w:pPr>
      <w:bookmarkStart w:id="12" w:name="_Toc943788"/>
      <w:r>
        <w:t>2.1.6. Kazne, upravne mjere i ostali prihodi - grupa konta 68 – Šifra 68</w:t>
      </w:r>
      <w:bookmarkEnd w:id="12"/>
    </w:p>
    <w:p w:rsidR="00EB3823" w:rsidRDefault="00EB3823">
      <w:pPr>
        <w:rPr>
          <w:bCs/>
          <w:iCs/>
        </w:rPr>
      </w:pPr>
    </w:p>
    <w:p w:rsidR="00EB3823" w:rsidRDefault="00000000">
      <w:pPr>
        <w:rPr>
          <w:bCs/>
          <w:iCs/>
        </w:rPr>
      </w:pPr>
      <w:r>
        <w:rPr>
          <w:bCs/>
          <w:iCs/>
        </w:rPr>
        <w:t>Prihodi od kazna, upravnih mjera i ostalih prihoda sastoje se od:</w:t>
      </w:r>
    </w:p>
    <w:p w:rsidR="00EB3823" w:rsidRDefault="00000000">
      <w:pPr>
        <w:numPr>
          <w:ilvl w:val="0"/>
          <w:numId w:val="5"/>
        </w:numPr>
        <w:spacing w:after="0"/>
        <w:rPr>
          <w:b/>
          <w:bCs/>
          <w:iCs/>
        </w:rPr>
      </w:pPr>
      <w:r>
        <w:rPr>
          <w:bCs/>
          <w:iCs/>
        </w:rPr>
        <w:t>Ostale kazne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                     1.</w:t>
      </w:r>
      <w:r w:rsidR="0096665C">
        <w:rPr>
          <w:bCs/>
          <w:iCs/>
        </w:rPr>
        <w:t>625</w:t>
      </w:r>
      <w:r>
        <w:rPr>
          <w:bCs/>
          <w:iCs/>
        </w:rPr>
        <w:t>,8</w:t>
      </w:r>
      <w:r w:rsidR="0096665C">
        <w:rPr>
          <w:bCs/>
          <w:iCs/>
        </w:rPr>
        <w:t>2</w:t>
      </w:r>
      <w:r>
        <w:rPr>
          <w:bCs/>
          <w:iCs/>
        </w:rPr>
        <w:t xml:space="preserve"> eura</w:t>
      </w:r>
    </w:p>
    <w:p w:rsidR="00EB3823" w:rsidRDefault="00000000">
      <w:pPr>
        <w:numPr>
          <w:ilvl w:val="0"/>
          <w:numId w:val="5"/>
        </w:numPr>
        <w:spacing w:after="0"/>
        <w:rPr>
          <w:b/>
          <w:bCs/>
          <w:iCs/>
        </w:rPr>
      </w:pPr>
      <w:r>
        <w:rPr>
          <w:bCs/>
          <w:iCs/>
        </w:rPr>
        <w:t>Ostali prihodi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96665C">
        <w:rPr>
          <w:bCs/>
          <w:iCs/>
        </w:rPr>
        <w:t>5.789,23</w:t>
      </w:r>
      <w:r>
        <w:rPr>
          <w:bCs/>
          <w:iCs/>
        </w:rPr>
        <w:t xml:space="preserve"> eura</w:t>
      </w:r>
    </w:p>
    <w:tbl>
      <w:tblPr>
        <w:tblW w:w="9855" w:type="dxa"/>
        <w:tblInd w:w="-142" w:type="dxa"/>
        <w:tblLook w:val="04A0" w:firstRow="1" w:lastRow="0" w:firstColumn="1" w:lastColumn="0" w:noHBand="0" w:noVBand="1"/>
      </w:tblPr>
      <w:tblGrid>
        <w:gridCol w:w="974"/>
        <w:gridCol w:w="4454"/>
        <w:gridCol w:w="595"/>
        <w:gridCol w:w="1273"/>
        <w:gridCol w:w="1273"/>
        <w:gridCol w:w="759"/>
        <w:gridCol w:w="527"/>
      </w:tblGrid>
      <w:tr w:rsidR="00EB3823">
        <w:trPr>
          <w:trHeight w:val="255"/>
        </w:trPr>
        <w:tc>
          <w:tcPr>
            <w:tcW w:w="98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3823" w:rsidRDefault="00EB3823">
            <w:pPr>
              <w:jc w:val="both"/>
              <w:rPr>
                <w:bCs/>
                <w:i/>
                <w:iCs/>
                <w:sz w:val="24"/>
                <w:szCs w:val="24"/>
              </w:rPr>
            </w:pPr>
          </w:p>
          <w:p w:rsidR="00EB3823" w:rsidRDefault="00000000">
            <w:pPr>
              <w:jc w:val="both"/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Indeks šifre 68 iznosi </w:t>
            </w:r>
            <w:r w:rsidR="003E741F">
              <w:rPr>
                <w:bCs/>
                <w:i/>
                <w:iCs/>
                <w:sz w:val="24"/>
                <w:szCs w:val="24"/>
              </w:rPr>
              <w:t>182,4</w:t>
            </w:r>
            <w:r>
              <w:rPr>
                <w:bCs/>
                <w:i/>
                <w:iCs/>
                <w:sz w:val="24"/>
                <w:szCs w:val="24"/>
              </w:rPr>
              <w:t xml:space="preserve"> – povećana je naplata kazni, ostali prihodi odnose se na prihode za refundaciju </w:t>
            </w:r>
            <w:r w:rsidR="007C725E">
              <w:rPr>
                <w:bCs/>
                <w:i/>
                <w:iCs/>
                <w:sz w:val="24"/>
                <w:szCs w:val="24"/>
              </w:rPr>
              <w:t xml:space="preserve">na temelju osiguranja za </w:t>
            </w:r>
            <w:r>
              <w:rPr>
                <w:bCs/>
                <w:i/>
                <w:iCs/>
                <w:sz w:val="24"/>
                <w:szCs w:val="24"/>
              </w:rPr>
              <w:t>troškov</w:t>
            </w:r>
            <w:r w:rsidR="007C725E">
              <w:rPr>
                <w:bCs/>
                <w:i/>
                <w:iCs/>
                <w:sz w:val="24"/>
                <w:szCs w:val="24"/>
              </w:rPr>
              <w:t>e naknade štete</w:t>
            </w:r>
            <w:r>
              <w:rPr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EB3823">
        <w:trPr>
          <w:trHeight w:val="255"/>
        </w:trPr>
        <w:tc>
          <w:tcPr>
            <w:tcW w:w="98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3823" w:rsidRDefault="00000000">
            <w:pPr>
              <w:spacing w:after="0" w:line="240" w:lineRule="auto"/>
              <w:ind w:right="-108"/>
              <w:jc w:val="both"/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Šifra 6 – </w:t>
            </w:r>
            <w:r w:rsidR="003E741F"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>106,1</w:t>
            </w:r>
            <w:r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- Ukupno ostvareni prihodi Javne ustanove Nacionalni park Mljet za 202</w:t>
            </w:r>
            <w:r w:rsidR="003E741F"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>5</w:t>
            </w:r>
            <w:r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>. godinu iznose 3.</w:t>
            </w:r>
            <w:r w:rsidR="003E741F"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>466.356,01</w:t>
            </w:r>
            <w:r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eura što je </w:t>
            </w:r>
            <w:r w:rsidR="003E741F"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>povećanje</w:t>
            </w:r>
            <w:r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od </w:t>
            </w:r>
            <w:r w:rsidR="003E741F"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>6,1</w:t>
            </w:r>
            <w:r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% u odnosu na 202</w:t>
            </w:r>
            <w:r w:rsidR="003E741F"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. godinu. Osnovni razlog </w:t>
            </w:r>
            <w:r w:rsidR="003E741F"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>povećanja</w:t>
            </w:r>
            <w:r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prihoda je</w:t>
            </w:r>
            <w:r w:rsidR="00435363"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prihod za projekte koji su završeni u 2025. godini</w:t>
            </w:r>
            <w:r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val="en-US" w:eastAsia="hr-HR"/>
              </w:rPr>
              <w:t>.</w:t>
            </w:r>
            <w:r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</w:p>
          <w:tbl>
            <w:tblPr>
              <w:tblW w:w="9311" w:type="dxa"/>
              <w:tblInd w:w="93" w:type="dxa"/>
              <w:tblLook w:val="04A0" w:firstRow="1" w:lastRow="0" w:firstColumn="1" w:lastColumn="0" w:noHBand="0" w:noVBand="1"/>
            </w:tblPr>
            <w:tblGrid>
              <w:gridCol w:w="9311"/>
            </w:tblGrid>
            <w:tr w:rsidR="00EB3823">
              <w:trPr>
                <w:trHeight w:val="255"/>
              </w:trPr>
              <w:tc>
                <w:tcPr>
                  <w:tcW w:w="93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B3823" w:rsidRDefault="00000000">
                  <w:pPr>
                    <w:pStyle w:val="Heading5"/>
                    <w:numPr>
                      <w:ilvl w:val="0"/>
                      <w:numId w:val="0"/>
                    </w:numPr>
                    <w:ind w:left="708"/>
                  </w:pPr>
                  <w:r>
                    <w:t>2.1.7. Prihodi od prodaje proizvedene dugotrajne imovine - grupa konta 72 – Šifra 72</w:t>
                  </w:r>
                </w:p>
                <w:p w:rsidR="00EB3823" w:rsidRDefault="00EB3823">
                  <w:pPr>
                    <w:jc w:val="both"/>
                    <w:rPr>
                      <w:rFonts w:eastAsia="Times New Roman" w:cs="Arial"/>
                      <w:b/>
                      <w:bCs/>
                      <w:i/>
                      <w:i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EB3823">
              <w:trPr>
                <w:trHeight w:val="255"/>
              </w:trPr>
              <w:tc>
                <w:tcPr>
                  <w:tcW w:w="93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B3823" w:rsidRDefault="00000000">
                  <w:pPr>
                    <w:spacing w:after="0" w:line="240" w:lineRule="auto"/>
                    <w:ind w:right="-108"/>
                    <w:jc w:val="both"/>
                    <w:rPr>
                      <w:bCs/>
                      <w:iCs/>
                      <w:lang w:val="en-US"/>
                    </w:rPr>
                  </w:pPr>
                  <w:r>
                    <w:rPr>
                      <w:rFonts w:eastAsia="Times New Roman" w:cs="Arial"/>
                      <w:b/>
                      <w:bCs/>
                      <w:i/>
                      <w:iCs/>
                      <w:sz w:val="24"/>
                      <w:szCs w:val="24"/>
                      <w:lang w:eastAsia="hr-HR"/>
                    </w:rPr>
                    <w:t>Šifra 7 –  U 202</w:t>
                  </w:r>
                  <w:r w:rsidR="00435363">
                    <w:rPr>
                      <w:rFonts w:eastAsia="Times New Roman" w:cs="Arial"/>
                      <w:b/>
                      <w:bCs/>
                      <w:i/>
                      <w:iCs/>
                      <w:sz w:val="24"/>
                      <w:szCs w:val="24"/>
                      <w:lang w:eastAsia="hr-HR"/>
                    </w:rPr>
                    <w:t>5</w:t>
                  </w:r>
                  <w:r>
                    <w:rPr>
                      <w:rFonts w:eastAsia="Times New Roman" w:cs="Arial"/>
                      <w:b/>
                      <w:bCs/>
                      <w:i/>
                      <w:iCs/>
                      <w:sz w:val="24"/>
                      <w:szCs w:val="24"/>
                      <w:lang w:eastAsia="hr-HR"/>
                    </w:rPr>
                    <w:t>. godini b</w:t>
                  </w:r>
                  <w:proofErr w:type="spellStart"/>
                  <w:r>
                    <w:rPr>
                      <w:rFonts w:eastAsia="Times New Roman" w:cs="Arial"/>
                      <w:b/>
                      <w:bCs/>
                      <w:i/>
                      <w:iCs/>
                      <w:sz w:val="24"/>
                      <w:szCs w:val="24"/>
                      <w:lang w:val="en-US" w:eastAsia="hr-HR"/>
                    </w:rPr>
                    <w:t>ila</w:t>
                  </w:r>
                  <w:proofErr w:type="spellEnd"/>
                  <w:r>
                    <w:rPr>
                      <w:rFonts w:eastAsia="Times New Roman" w:cs="Arial"/>
                      <w:b/>
                      <w:bCs/>
                      <w:i/>
                      <w:iCs/>
                      <w:sz w:val="24"/>
                      <w:szCs w:val="24"/>
                      <w:lang w:val="en-US" w:eastAsia="hr-HR"/>
                    </w:rPr>
                    <w:t xml:space="preserve"> je</w:t>
                  </w:r>
                  <w:r>
                    <w:rPr>
                      <w:rFonts w:eastAsia="Times New Roman" w:cs="Arial"/>
                      <w:b/>
                      <w:bCs/>
                      <w:i/>
                      <w:iCs/>
                      <w:sz w:val="24"/>
                      <w:szCs w:val="24"/>
                      <w:lang w:eastAsia="hr-HR"/>
                    </w:rPr>
                    <w:t xml:space="preserve"> prodaj</w:t>
                  </w:r>
                  <w:r>
                    <w:rPr>
                      <w:rFonts w:eastAsia="Times New Roman" w:cs="Arial"/>
                      <w:b/>
                      <w:bCs/>
                      <w:i/>
                      <w:iCs/>
                      <w:sz w:val="24"/>
                      <w:szCs w:val="24"/>
                      <w:lang w:val="en-US" w:eastAsia="hr-HR"/>
                    </w:rPr>
                    <w:t>a</w:t>
                  </w:r>
                  <w:r>
                    <w:rPr>
                      <w:rFonts w:eastAsia="Times New Roman" w:cs="Arial"/>
                      <w:b/>
                      <w:bCs/>
                      <w:i/>
                      <w:iCs/>
                      <w:sz w:val="24"/>
                      <w:szCs w:val="24"/>
                      <w:lang w:eastAsia="hr-HR"/>
                    </w:rPr>
                    <w:t xml:space="preserve"> nefinancijske imovine Javne ustanove Nacionalni park Mljet</w:t>
                  </w:r>
                  <w:r>
                    <w:rPr>
                      <w:rFonts w:eastAsia="Times New Roman" w:cs="Arial"/>
                      <w:b/>
                      <w:bCs/>
                      <w:i/>
                      <w:iCs/>
                      <w:sz w:val="24"/>
                      <w:szCs w:val="24"/>
                      <w:lang w:val="en-US" w:eastAsia="hr-HR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Arial"/>
                      <w:b/>
                      <w:bCs/>
                      <w:i/>
                      <w:iCs/>
                      <w:sz w:val="24"/>
                      <w:szCs w:val="24"/>
                      <w:lang w:val="en-US" w:eastAsia="hr-HR"/>
                    </w:rPr>
                    <w:t>osobnog</w:t>
                  </w:r>
                  <w:proofErr w:type="spellEnd"/>
                  <w:r>
                    <w:rPr>
                      <w:rFonts w:eastAsia="Times New Roman" w:cs="Arial"/>
                      <w:b/>
                      <w:bCs/>
                      <w:i/>
                      <w:iCs/>
                      <w:sz w:val="24"/>
                      <w:szCs w:val="24"/>
                      <w:lang w:val="en-US" w:eastAsia="hr-HR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Arial"/>
                      <w:b/>
                      <w:bCs/>
                      <w:i/>
                      <w:iCs/>
                      <w:sz w:val="24"/>
                      <w:szCs w:val="24"/>
                      <w:lang w:val="en-US" w:eastAsia="hr-HR"/>
                    </w:rPr>
                    <w:t>automobila</w:t>
                  </w:r>
                  <w:proofErr w:type="spellEnd"/>
                  <w:r>
                    <w:rPr>
                      <w:rFonts w:eastAsia="Times New Roman" w:cs="Arial"/>
                      <w:b/>
                      <w:bCs/>
                      <w:i/>
                      <w:iCs/>
                      <w:sz w:val="24"/>
                      <w:szCs w:val="24"/>
                      <w:lang w:val="en-US" w:eastAsia="hr-HR"/>
                    </w:rPr>
                    <w:t>.</w:t>
                  </w:r>
                </w:p>
              </w:tc>
            </w:tr>
          </w:tbl>
          <w:p w:rsidR="00EB3823" w:rsidRDefault="00EB3823">
            <w:pPr>
              <w:pStyle w:val="Heading4"/>
            </w:pPr>
            <w:bookmarkStart w:id="13" w:name="_Toc943789"/>
          </w:p>
          <w:p w:rsidR="00EB3823" w:rsidRDefault="00EB3823">
            <w:pPr>
              <w:pStyle w:val="Heading4"/>
            </w:pPr>
          </w:p>
          <w:p w:rsidR="00EB3823" w:rsidRDefault="00000000">
            <w:pPr>
              <w:pStyle w:val="Heading4"/>
            </w:pPr>
            <w:r>
              <w:t>2.2. Rashodi poslovanja</w:t>
            </w:r>
            <w:bookmarkEnd w:id="13"/>
          </w:p>
          <w:p w:rsidR="00EB3823" w:rsidRDefault="00EB3823">
            <w:pPr>
              <w:jc w:val="both"/>
              <w:rPr>
                <w:sz w:val="24"/>
                <w:szCs w:val="24"/>
                <w:lang w:eastAsia="hr-HR"/>
              </w:rPr>
            </w:pPr>
          </w:p>
          <w:p w:rsidR="00EB3823" w:rsidRDefault="00000000">
            <w:pPr>
              <w:spacing w:after="0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Arial"/>
                <w:sz w:val="24"/>
                <w:szCs w:val="24"/>
                <w:lang w:eastAsia="hr-HR"/>
              </w:rPr>
              <w:t xml:space="preserve">Za razliku od prihoda poslovanja, a sukladno odredbama Pravilnika o proračunskom računovodstvu i Računskom planu, rashodi poslovanja priznati su </w:t>
            </w:r>
            <w:r w:rsidR="00ED5D53">
              <w:rPr>
                <w:rFonts w:eastAsia="Times New Roman" w:cs="Arial"/>
                <w:sz w:val="24"/>
                <w:szCs w:val="24"/>
                <w:lang w:eastAsia="hr-HR"/>
              </w:rPr>
              <w:t>na</w:t>
            </w:r>
            <w:r>
              <w:rPr>
                <w:rFonts w:eastAsia="Times New Roman" w:cs="Arial"/>
                <w:sz w:val="24"/>
                <w:szCs w:val="24"/>
                <w:lang w:eastAsia="hr-HR"/>
              </w:rPr>
              <w:t xml:space="preserve"> temelj</w:t>
            </w:r>
            <w:r w:rsidR="00ED5D53">
              <w:rPr>
                <w:rFonts w:eastAsia="Times New Roman" w:cs="Arial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="Arial"/>
                <w:sz w:val="24"/>
                <w:szCs w:val="24"/>
                <w:lang w:eastAsia="hr-HR"/>
              </w:rPr>
              <w:t xml:space="preserve">  nastanka poslovnog događaja i  neovisno o plaćanju.</w:t>
            </w:r>
          </w:p>
          <w:p w:rsidR="00EB3823" w:rsidRDefault="00EB3823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  <w:p w:rsidR="00EB3823" w:rsidRDefault="00000000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hr-HR"/>
              </w:rPr>
            </w:pPr>
            <w:r>
              <w:rPr>
                <w:rFonts w:eastAsia="Times New Roman" w:cs="Arial"/>
                <w:sz w:val="24"/>
                <w:szCs w:val="24"/>
                <w:lang w:eastAsia="hr-HR"/>
              </w:rPr>
              <w:t>U razdoblju od siječnja do prosinca 202</w:t>
            </w:r>
            <w:r w:rsidR="00774ADB">
              <w:rPr>
                <w:rFonts w:eastAsia="Times New Roman" w:cs="Arial"/>
                <w:sz w:val="24"/>
                <w:szCs w:val="24"/>
                <w:lang w:eastAsia="hr-HR"/>
              </w:rPr>
              <w:t>5</w:t>
            </w:r>
            <w:r>
              <w:rPr>
                <w:rFonts w:eastAsia="Times New Roman" w:cs="Arial"/>
                <w:sz w:val="24"/>
                <w:szCs w:val="24"/>
                <w:lang w:eastAsia="hr-HR"/>
              </w:rPr>
              <w:t>. godine ostvarena je sljedeća struktura rashoda poslovanja:</w:t>
            </w:r>
          </w:p>
          <w:p w:rsidR="00EB3823" w:rsidRDefault="00EB3823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EB3823">
        <w:trPr>
          <w:gridAfter w:val="1"/>
          <w:wAfter w:w="527" w:type="dxa"/>
          <w:trHeight w:val="112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80"/>
            </w:tcBorders>
            <w:shd w:val="pct25" w:color="C0C0C0" w:fill="FFFFFF"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Račun iz rač. plana</w:t>
            </w:r>
          </w:p>
        </w:tc>
        <w:tc>
          <w:tcPr>
            <w:tcW w:w="4454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pct25" w:color="C0C0C0" w:fill="FFFFFF"/>
            <w:noWrap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 stavke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pct25" w:color="C0C0C0" w:fill="FFFFFF"/>
            <w:noWrap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Šifra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pct25" w:color="C0C0C0" w:fill="FFFFFF"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Ostvareno u izvještajnom razdoblju prethodne godine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nil"/>
              <w:right w:val="single" w:sz="4" w:space="0" w:color="000080"/>
            </w:tcBorders>
            <w:shd w:val="pct25" w:color="C0C0C0" w:fill="FFFFFF"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Ostvareno u izvještajnom razdoblju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tekuće godine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25" w:color="C0C0C0" w:fill="FFFFFF"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(5/4)</w:t>
            </w:r>
          </w:p>
        </w:tc>
      </w:tr>
      <w:tr w:rsidR="00EB3823">
        <w:trPr>
          <w:gridAfter w:val="1"/>
          <w:wAfter w:w="527" w:type="dxa"/>
          <w:trHeight w:val="300"/>
        </w:trPr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80"/>
            </w:tcBorders>
            <w:shd w:val="clear" w:color="000000" w:fill="FFFFCC"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80"/>
            </w:tcBorders>
            <w:shd w:val="clear" w:color="000000" w:fill="FFFFCC"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80"/>
            </w:tcBorders>
            <w:shd w:val="clear" w:color="000000" w:fill="FFFFCC"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80"/>
            </w:tcBorders>
            <w:shd w:val="clear" w:color="000000" w:fill="FFFFCC"/>
            <w:noWrap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80"/>
            </w:tcBorders>
            <w:shd w:val="clear" w:color="000000" w:fill="FFFFCC"/>
            <w:noWrap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</w:tcPr>
          <w:p w:rsidR="00EB38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6</w:t>
            </w:r>
          </w:p>
        </w:tc>
      </w:tr>
      <w:tr w:rsidR="00EB3823">
        <w:trPr>
          <w:gridAfter w:val="1"/>
          <w:wAfter w:w="527" w:type="dxa"/>
          <w:trHeight w:val="300"/>
        </w:trPr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shd w:val="clear" w:color="000000" w:fill="F2F2F2"/>
            <w:vAlign w:val="center"/>
          </w:tcPr>
          <w:p w:rsidR="00EB38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hr-HR"/>
              </w:rPr>
              <w:t>Rashodi poslovanja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000000" w:fill="F2F2F2"/>
            <w:noWrap/>
            <w:vAlign w:val="center"/>
          </w:tcPr>
          <w:p w:rsidR="00EB38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hr-H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000000" w:fill="F2F2F2"/>
            <w:noWrap/>
            <w:vAlign w:val="center"/>
          </w:tcPr>
          <w:p w:rsidR="00EB38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hr-H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shd w:val="clear" w:color="000000" w:fill="F2F2F2"/>
            <w:noWrap/>
            <w:vAlign w:val="center"/>
          </w:tcPr>
          <w:p w:rsidR="00EB38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F2F2F2"/>
            <w:noWrap/>
            <w:vAlign w:val="center"/>
          </w:tcPr>
          <w:p w:rsidR="00EB38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lang w:eastAsia="hr-HR"/>
              </w:rPr>
              <w:t> </w:t>
            </w:r>
          </w:p>
        </w:tc>
      </w:tr>
      <w:tr w:rsidR="00774ADB">
        <w:trPr>
          <w:gridAfter w:val="1"/>
          <w:wAfter w:w="527" w:type="dxa"/>
          <w:trHeight w:val="450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POSLOVANJA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774ADB" w:rsidRDefault="00774ADB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3.136.113,84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774ADB" w:rsidRDefault="00141973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3.555.034,70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:rsidR="00774ADB" w:rsidRDefault="00141973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113,4</w:t>
            </w:r>
          </w:p>
        </w:tc>
      </w:tr>
      <w:tr w:rsidR="00774ADB">
        <w:trPr>
          <w:gridAfter w:val="1"/>
          <w:wAfter w:w="527" w:type="dxa"/>
          <w:trHeight w:val="450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za zaposlene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774ADB" w:rsidRDefault="00774ADB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1.483.242,80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774ADB" w:rsidRDefault="00141973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1.630.065,66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:rsidR="00774ADB" w:rsidRDefault="00141973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109,9</w:t>
            </w:r>
          </w:p>
        </w:tc>
      </w:tr>
      <w:tr w:rsidR="00774ADB">
        <w:trPr>
          <w:gridAfter w:val="1"/>
          <w:wAfter w:w="527" w:type="dxa"/>
          <w:trHeight w:val="450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Materijalni rashodi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774ADB" w:rsidRDefault="00774ADB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1.506.743,80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774ADB" w:rsidRDefault="00141973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1.723.340,50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:rsidR="00774ADB" w:rsidRDefault="00141973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114,4</w:t>
            </w:r>
          </w:p>
        </w:tc>
      </w:tr>
      <w:tr w:rsidR="00774ADB">
        <w:trPr>
          <w:gridAfter w:val="1"/>
          <w:wAfter w:w="527" w:type="dxa"/>
          <w:trHeight w:val="450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774ADB" w:rsidRDefault="00774ADB" w:rsidP="00774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Financijski rashodi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774ADB" w:rsidRDefault="00774ADB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29.121,58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774ADB" w:rsidRDefault="00141973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27.452,26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:rsidR="00774ADB" w:rsidRDefault="00141973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94,3</w:t>
            </w:r>
          </w:p>
        </w:tc>
      </w:tr>
      <w:tr w:rsidR="00774ADB">
        <w:trPr>
          <w:gridAfter w:val="1"/>
          <w:wAfter w:w="527" w:type="dxa"/>
          <w:trHeight w:val="450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Subvencije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774ADB" w:rsidRDefault="00774ADB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774ADB" w:rsidRDefault="00141973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:rsidR="00774ADB" w:rsidRDefault="00141973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774ADB">
        <w:trPr>
          <w:gridAfter w:val="1"/>
          <w:wAfter w:w="527" w:type="dxa"/>
          <w:trHeight w:val="450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Pomoći dane u inozemstvo i unutar općeg proračuna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774ADB" w:rsidRDefault="00774ADB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81.406,44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774ADB" w:rsidRDefault="00141973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90.608,94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:rsidR="00774ADB" w:rsidRDefault="00141973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111,3</w:t>
            </w:r>
          </w:p>
        </w:tc>
      </w:tr>
      <w:tr w:rsidR="00774ADB">
        <w:trPr>
          <w:gridAfter w:val="1"/>
          <w:wAfter w:w="527" w:type="dxa"/>
          <w:trHeight w:val="450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Naknade građanima i kućanstvima na temelju osiguranja i druge naknade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774ADB" w:rsidRDefault="00774ADB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:rsidR="00774ADB" w:rsidRDefault="00141973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:rsidR="00774ADB" w:rsidRDefault="00141973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774ADB">
        <w:trPr>
          <w:gridAfter w:val="1"/>
          <w:wAfter w:w="527" w:type="dxa"/>
          <w:trHeight w:val="450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rashodi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</w:tcPr>
          <w:p w:rsidR="00774ADB" w:rsidRDefault="00774ADB" w:rsidP="00774A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noWrap/>
          </w:tcPr>
          <w:p w:rsidR="00774ADB" w:rsidRDefault="00774ADB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35,599,22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80"/>
            </w:tcBorders>
            <w:noWrap/>
          </w:tcPr>
          <w:p w:rsidR="00774ADB" w:rsidRDefault="00141973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83.567,34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774ADB" w:rsidRDefault="00141973" w:rsidP="00774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hr-HR"/>
              </w:rPr>
              <w:t>234,7</w:t>
            </w:r>
          </w:p>
        </w:tc>
      </w:tr>
    </w:tbl>
    <w:p w:rsidR="00EB3823" w:rsidRDefault="00EB3823">
      <w:pPr>
        <w:pStyle w:val="Heading5"/>
        <w:numPr>
          <w:ilvl w:val="0"/>
          <w:numId w:val="0"/>
        </w:numPr>
        <w:ind w:left="708"/>
      </w:pPr>
    </w:p>
    <w:p w:rsidR="00EB3823" w:rsidRDefault="00000000">
      <w:pPr>
        <w:pStyle w:val="Heading5"/>
        <w:numPr>
          <w:ilvl w:val="0"/>
          <w:numId w:val="0"/>
        </w:numPr>
        <w:ind w:left="708"/>
      </w:pPr>
      <w:bookmarkStart w:id="14" w:name="_Toc943790"/>
      <w:r>
        <w:t>2.2.1. Rashodi za zaposlene</w:t>
      </w:r>
      <w:bookmarkEnd w:id="14"/>
      <w:r>
        <w:t xml:space="preserve"> - grupa konta 31 – Šifra 31          </w:t>
      </w:r>
    </w:p>
    <w:p w:rsidR="00EB3823" w:rsidRDefault="00EB3823"/>
    <w:p w:rsidR="00EB3823" w:rsidRDefault="00000000">
      <w:pPr>
        <w:spacing w:after="0"/>
        <w:rPr>
          <w:bCs/>
          <w:i/>
          <w:iCs/>
        </w:rPr>
      </w:pPr>
      <w:r>
        <w:rPr>
          <w:bCs/>
          <w:iCs/>
        </w:rPr>
        <w:t>Rashodi za zaposlene ostvareni su u ukupnom iznosu od 1.209.868,84 eura i odnose se na</w:t>
      </w:r>
      <w:r>
        <w:rPr>
          <w:bCs/>
          <w:i/>
          <w:iCs/>
        </w:rPr>
        <w:t>:</w:t>
      </w:r>
    </w:p>
    <w:p w:rsidR="00EB3823" w:rsidRDefault="00EB3823">
      <w:pPr>
        <w:spacing w:after="0"/>
        <w:rPr>
          <w:bCs/>
          <w:iCs/>
        </w:rPr>
      </w:pPr>
    </w:p>
    <w:p w:rsidR="00EB3823" w:rsidRDefault="00000000">
      <w:pPr>
        <w:numPr>
          <w:ilvl w:val="0"/>
          <w:numId w:val="5"/>
        </w:numPr>
        <w:spacing w:after="0"/>
        <w:rPr>
          <w:bCs/>
          <w:iCs/>
        </w:rPr>
      </w:pPr>
      <w:r>
        <w:rPr>
          <w:bCs/>
          <w:iCs/>
        </w:rPr>
        <w:t>Plaće za redovan rad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1.</w:t>
      </w:r>
      <w:r w:rsidR="00E5223E">
        <w:rPr>
          <w:bCs/>
          <w:iCs/>
        </w:rPr>
        <w:t>287.216,96</w:t>
      </w:r>
      <w:r>
        <w:rPr>
          <w:bCs/>
          <w:iCs/>
        </w:rPr>
        <w:t xml:space="preserve"> eura</w:t>
      </w:r>
    </w:p>
    <w:p w:rsidR="00EB3823" w:rsidRDefault="00000000">
      <w:pPr>
        <w:numPr>
          <w:ilvl w:val="0"/>
          <w:numId w:val="5"/>
        </w:numPr>
        <w:spacing w:after="0"/>
        <w:rPr>
          <w:b/>
          <w:bCs/>
          <w:iCs/>
        </w:rPr>
      </w:pPr>
      <w:r>
        <w:rPr>
          <w:bCs/>
          <w:iCs/>
        </w:rPr>
        <w:t>Ostali rashodi za zaposlene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1</w:t>
      </w:r>
      <w:r w:rsidR="00E5223E">
        <w:rPr>
          <w:bCs/>
          <w:iCs/>
        </w:rPr>
        <w:t>16.209,28</w:t>
      </w:r>
      <w:r>
        <w:rPr>
          <w:bCs/>
          <w:iCs/>
        </w:rPr>
        <w:t xml:space="preserve"> eura </w:t>
      </w:r>
    </w:p>
    <w:p w:rsidR="00EB3823" w:rsidRDefault="00000000">
      <w:pPr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>Doprinosi na plaće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</w:t>
      </w:r>
      <w:r>
        <w:rPr>
          <w:bCs/>
          <w:iCs/>
        </w:rPr>
        <w:tab/>
      </w:r>
      <w:r>
        <w:rPr>
          <w:bCs/>
          <w:iCs/>
        </w:rPr>
        <w:tab/>
      </w:r>
      <w:r>
        <w:t xml:space="preserve">    2</w:t>
      </w:r>
      <w:r w:rsidR="00E5223E">
        <w:t>26.639,42</w:t>
      </w:r>
      <w:r>
        <w:t xml:space="preserve"> eura      </w:t>
      </w:r>
    </w:p>
    <w:p w:rsidR="00EB3823" w:rsidRDefault="00000000">
      <w:pPr>
        <w:jc w:val="both"/>
        <w:rPr>
          <w:bCs/>
          <w:i/>
          <w:iCs/>
        </w:rPr>
      </w:pPr>
      <w:r>
        <w:rPr>
          <w:bCs/>
          <w:i/>
          <w:iCs/>
        </w:rPr>
        <w:t>Indeks šifre 31 iznosi 1</w:t>
      </w:r>
      <w:r w:rsidR="00E5223E">
        <w:rPr>
          <w:bCs/>
          <w:i/>
          <w:iCs/>
        </w:rPr>
        <w:t>09,9</w:t>
      </w:r>
      <w:r>
        <w:rPr>
          <w:bCs/>
          <w:i/>
          <w:iCs/>
        </w:rPr>
        <w:t xml:space="preserve"> – povećanje rashoda za zaposlene je rezultat je nova Uredba o nazivima radnih mjesta, uvjetima za raspored i koeficijentima za obračun plaća u javnim službama. </w:t>
      </w:r>
    </w:p>
    <w:p w:rsidR="00EB3823" w:rsidRDefault="00EB3823">
      <w:pPr>
        <w:rPr>
          <w:bCs/>
          <w:i/>
          <w:iCs/>
        </w:rPr>
      </w:pPr>
    </w:p>
    <w:p w:rsidR="00EB3823" w:rsidRDefault="00000000">
      <w:pPr>
        <w:pStyle w:val="Heading5"/>
        <w:numPr>
          <w:ilvl w:val="0"/>
          <w:numId w:val="0"/>
        </w:numPr>
        <w:ind w:left="708"/>
      </w:pPr>
      <w:bookmarkStart w:id="15" w:name="_Toc943791"/>
      <w:r>
        <w:t>2.2.2. Materijalni rashodi</w:t>
      </w:r>
      <w:bookmarkEnd w:id="15"/>
      <w:r>
        <w:t xml:space="preserve"> - grupa konta 32 – Šifra 32     </w:t>
      </w:r>
    </w:p>
    <w:p w:rsidR="00EB3823" w:rsidRDefault="00EB3823"/>
    <w:p w:rsidR="00EB3823" w:rsidRDefault="00000000">
      <w:pPr>
        <w:rPr>
          <w:bCs/>
          <w:iCs/>
        </w:rPr>
      </w:pPr>
      <w:r>
        <w:rPr>
          <w:bCs/>
          <w:iCs/>
        </w:rPr>
        <w:t>Materijalni rashodi se sastoje od:</w:t>
      </w:r>
    </w:p>
    <w:p w:rsidR="00EB3823" w:rsidRDefault="00000000">
      <w:pPr>
        <w:numPr>
          <w:ilvl w:val="0"/>
          <w:numId w:val="5"/>
        </w:numPr>
        <w:spacing w:after="0"/>
        <w:rPr>
          <w:bCs/>
          <w:iCs/>
        </w:rPr>
      </w:pPr>
      <w:r>
        <w:rPr>
          <w:bCs/>
          <w:iCs/>
        </w:rPr>
        <w:t>Naknade troškova zaposlenima</w:t>
      </w:r>
      <w:r>
        <w:rPr>
          <w:bCs/>
          <w:iCs/>
        </w:rPr>
        <w:tab/>
        <w:t xml:space="preserve">                    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4</w:t>
      </w:r>
      <w:r w:rsidR="00E5223E">
        <w:rPr>
          <w:bCs/>
          <w:iCs/>
        </w:rPr>
        <w:t>7</w:t>
      </w:r>
      <w:r>
        <w:rPr>
          <w:bCs/>
          <w:iCs/>
        </w:rPr>
        <w:t>.</w:t>
      </w:r>
      <w:r w:rsidR="00E5223E">
        <w:rPr>
          <w:bCs/>
          <w:iCs/>
        </w:rPr>
        <w:t>590,06</w:t>
      </w:r>
      <w:r>
        <w:rPr>
          <w:bCs/>
          <w:iCs/>
        </w:rPr>
        <w:t xml:space="preserve"> eura</w:t>
      </w:r>
    </w:p>
    <w:p w:rsidR="00EB3823" w:rsidRDefault="00000000">
      <w:pPr>
        <w:numPr>
          <w:ilvl w:val="0"/>
          <w:numId w:val="5"/>
        </w:numPr>
        <w:spacing w:after="0"/>
        <w:rPr>
          <w:bCs/>
          <w:iCs/>
        </w:rPr>
      </w:pPr>
      <w:r>
        <w:rPr>
          <w:bCs/>
          <w:iCs/>
        </w:rPr>
        <w:t>Rashoda za materijal i energiju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21</w:t>
      </w:r>
      <w:r w:rsidR="00E5223E">
        <w:rPr>
          <w:bCs/>
          <w:iCs/>
        </w:rPr>
        <w:t>0</w:t>
      </w:r>
      <w:r>
        <w:rPr>
          <w:bCs/>
          <w:iCs/>
        </w:rPr>
        <w:t>.</w:t>
      </w:r>
      <w:r w:rsidR="00E5223E">
        <w:rPr>
          <w:bCs/>
          <w:iCs/>
        </w:rPr>
        <w:t>559,65</w:t>
      </w:r>
      <w:r>
        <w:rPr>
          <w:bCs/>
          <w:iCs/>
        </w:rPr>
        <w:t xml:space="preserve"> eura</w:t>
      </w:r>
    </w:p>
    <w:p w:rsidR="00EB3823" w:rsidRDefault="00000000">
      <w:pPr>
        <w:numPr>
          <w:ilvl w:val="0"/>
          <w:numId w:val="5"/>
        </w:numPr>
        <w:spacing w:after="0"/>
        <w:rPr>
          <w:bCs/>
          <w:iCs/>
        </w:rPr>
      </w:pPr>
      <w:r>
        <w:rPr>
          <w:bCs/>
          <w:iCs/>
        </w:rPr>
        <w:t>Rashoda za usluge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1.</w:t>
      </w:r>
      <w:r w:rsidR="00E5223E">
        <w:rPr>
          <w:bCs/>
          <w:iCs/>
        </w:rPr>
        <w:t>370</w:t>
      </w:r>
      <w:r>
        <w:rPr>
          <w:bCs/>
          <w:iCs/>
        </w:rPr>
        <w:t>.</w:t>
      </w:r>
      <w:r w:rsidR="00E5223E">
        <w:rPr>
          <w:bCs/>
          <w:iCs/>
        </w:rPr>
        <w:t>237</w:t>
      </w:r>
      <w:r>
        <w:rPr>
          <w:bCs/>
          <w:iCs/>
        </w:rPr>
        <w:t>,3</w:t>
      </w:r>
      <w:r w:rsidR="00E5223E">
        <w:rPr>
          <w:bCs/>
          <w:iCs/>
        </w:rPr>
        <w:t>5</w:t>
      </w:r>
      <w:r>
        <w:rPr>
          <w:bCs/>
          <w:iCs/>
        </w:rPr>
        <w:t xml:space="preserve"> eura</w:t>
      </w:r>
    </w:p>
    <w:p w:rsidR="00EB3823" w:rsidRDefault="00000000">
      <w:pPr>
        <w:numPr>
          <w:ilvl w:val="0"/>
          <w:numId w:val="5"/>
        </w:numPr>
        <w:spacing w:after="0"/>
        <w:rPr>
          <w:bCs/>
          <w:iCs/>
        </w:rPr>
      </w:pPr>
      <w:r>
        <w:rPr>
          <w:bCs/>
          <w:iCs/>
        </w:rPr>
        <w:t xml:space="preserve">Naknade troškova osobama izvan radnog odnosa                                               </w:t>
      </w:r>
      <w:r w:rsidR="00E5223E">
        <w:rPr>
          <w:bCs/>
          <w:iCs/>
        </w:rPr>
        <w:t xml:space="preserve"> 16.235,31</w:t>
      </w:r>
      <w:r>
        <w:rPr>
          <w:bCs/>
          <w:iCs/>
        </w:rPr>
        <w:t xml:space="preserve"> eura</w:t>
      </w:r>
    </w:p>
    <w:p w:rsidR="00EB3823" w:rsidRDefault="00000000">
      <w:pPr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>Ostali nespomenuti rashodi poslovanja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7</w:t>
      </w:r>
      <w:r w:rsidR="00E5223E">
        <w:rPr>
          <w:bCs/>
          <w:iCs/>
        </w:rPr>
        <w:t>8.718,13</w:t>
      </w:r>
      <w:r>
        <w:rPr>
          <w:bCs/>
          <w:iCs/>
        </w:rPr>
        <w:t xml:space="preserve"> eura</w:t>
      </w:r>
    </w:p>
    <w:p w:rsidR="00EB3823" w:rsidRDefault="00000000">
      <w:pPr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>Indeks šifre 32 iznosi 1</w:t>
      </w:r>
      <w:r w:rsidR="00E5223E">
        <w:rPr>
          <w:bCs/>
          <w:i/>
          <w:iCs/>
        </w:rPr>
        <w:t>1</w:t>
      </w:r>
      <w:r>
        <w:rPr>
          <w:bCs/>
          <w:i/>
          <w:iCs/>
        </w:rPr>
        <w:t>4,</w:t>
      </w:r>
      <w:r w:rsidR="00E5223E">
        <w:rPr>
          <w:bCs/>
          <w:i/>
          <w:iCs/>
        </w:rPr>
        <w:t>4</w:t>
      </w:r>
      <w:r>
        <w:rPr>
          <w:bCs/>
          <w:i/>
          <w:iCs/>
        </w:rPr>
        <w:t>– JU NP Mljet je u 202</w:t>
      </w:r>
      <w:r w:rsidR="00E5223E">
        <w:rPr>
          <w:bCs/>
          <w:i/>
          <w:iCs/>
        </w:rPr>
        <w:t>5</w:t>
      </w:r>
      <w:r>
        <w:rPr>
          <w:bCs/>
          <w:i/>
          <w:iCs/>
        </w:rPr>
        <w:t>. godini povećan je najvećim dijelom</w:t>
      </w:r>
      <w:r w:rsidR="00E5223E">
        <w:rPr>
          <w:bCs/>
          <w:i/>
          <w:iCs/>
        </w:rPr>
        <w:t xml:space="preserve"> slanja zaposlenika na dodatno usav</w:t>
      </w:r>
      <w:r w:rsidR="00074B9F">
        <w:rPr>
          <w:bCs/>
          <w:i/>
          <w:iCs/>
        </w:rPr>
        <w:t>r</w:t>
      </w:r>
      <w:r w:rsidR="00E5223E">
        <w:rPr>
          <w:bCs/>
          <w:i/>
          <w:iCs/>
        </w:rPr>
        <w:t>šavanje i polaganje C i D kategorije, pov</w:t>
      </w:r>
      <w:r w:rsidR="00074B9F">
        <w:rPr>
          <w:bCs/>
          <w:i/>
          <w:iCs/>
        </w:rPr>
        <w:t>e</w:t>
      </w:r>
      <w:r w:rsidR="00E5223E">
        <w:rPr>
          <w:bCs/>
          <w:i/>
          <w:iCs/>
        </w:rPr>
        <w:t>ćan je iznos za održavanje plovila koji je bio nužan napraviti kako bi ista bila u funkciji.</w:t>
      </w:r>
      <w:r>
        <w:rPr>
          <w:bCs/>
          <w:i/>
          <w:iCs/>
        </w:rPr>
        <w:t xml:space="preserve"> </w:t>
      </w:r>
    </w:p>
    <w:p w:rsidR="00EB3823" w:rsidRDefault="00000000">
      <w:pPr>
        <w:spacing w:after="0"/>
        <w:ind w:left="720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</w:t>
      </w:r>
      <w:r>
        <w:rPr>
          <w:bCs/>
          <w:iCs/>
        </w:rPr>
        <w:tab/>
      </w:r>
    </w:p>
    <w:p w:rsidR="00EB3823" w:rsidRDefault="00000000">
      <w:pPr>
        <w:pStyle w:val="Heading5"/>
        <w:numPr>
          <w:ilvl w:val="0"/>
          <w:numId w:val="0"/>
        </w:numPr>
        <w:ind w:left="708"/>
      </w:pPr>
      <w:bookmarkStart w:id="16" w:name="_Toc943792"/>
      <w:r>
        <w:t>2.2.3. Financijski rashodi</w:t>
      </w:r>
      <w:bookmarkEnd w:id="16"/>
      <w:r>
        <w:t xml:space="preserve"> </w:t>
      </w:r>
      <w:r>
        <w:rPr>
          <w:rFonts w:asciiTheme="minorHAnsi" w:hAnsiTheme="minorHAnsi" w:cstheme="minorBidi"/>
          <w:bCs/>
          <w:i w:val="0"/>
          <w:iCs/>
          <w:szCs w:val="24"/>
        </w:rPr>
        <w:t xml:space="preserve"> - </w:t>
      </w:r>
      <w:r>
        <w:t xml:space="preserve">grupa konta 34 – Šifra 34     </w:t>
      </w:r>
    </w:p>
    <w:p w:rsidR="00EB3823" w:rsidRDefault="00EB3823"/>
    <w:p w:rsidR="00EB3823" w:rsidRDefault="00000000">
      <w:pPr>
        <w:rPr>
          <w:bCs/>
          <w:iCs/>
        </w:rPr>
      </w:pPr>
      <w:r>
        <w:rPr>
          <w:bCs/>
          <w:iCs/>
        </w:rPr>
        <w:t>Financijski rashodi se sastoje od:</w:t>
      </w:r>
    </w:p>
    <w:p w:rsidR="00EB3823" w:rsidRDefault="00000000">
      <w:pPr>
        <w:numPr>
          <w:ilvl w:val="0"/>
          <w:numId w:val="5"/>
        </w:numPr>
        <w:spacing w:after="0"/>
        <w:rPr>
          <w:bCs/>
          <w:iCs/>
        </w:rPr>
      </w:pPr>
      <w:r>
        <w:rPr>
          <w:bCs/>
          <w:iCs/>
        </w:rPr>
        <w:t>Usluga banaka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2</w:t>
      </w:r>
      <w:r w:rsidR="00FB1378">
        <w:rPr>
          <w:bCs/>
          <w:iCs/>
        </w:rPr>
        <w:t>7</w:t>
      </w:r>
      <w:r>
        <w:rPr>
          <w:bCs/>
          <w:iCs/>
        </w:rPr>
        <w:t>.</w:t>
      </w:r>
      <w:r w:rsidR="00FB1378">
        <w:rPr>
          <w:bCs/>
          <w:iCs/>
        </w:rPr>
        <w:t>452,26</w:t>
      </w:r>
      <w:r>
        <w:rPr>
          <w:bCs/>
          <w:iCs/>
        </w:rPr>
        <w:t xml:space="preserve"> eura</w:t>
      </w:r>
    </w:p>
    <w:p w:rsidR="00EB3823" w:rsidRDefault="00EB3823">
      <w:pPr>
        <w:rPr>
          <w:bCs/>
          <w:i/>
          <w:iCs/>
        </w:rPr>
      </w:pPr>
    </w:p>
    <w:p w:rsidR="00EB3823" w:rsidRDefault="00000000">
      <w:pPr>
        <w:rPr>
          <w:bCs/>
          <w:i/>
          <w:iCs/>
        </w:rPr>
      </w:pPr>
      <w:r>
        <w:rPr>
          <w:bCs/>
          <w:i/>
          <w:iCs/>
        </w:rPr>
        <w:t xml:space="preserve">Indeks šifre iznosi </w:t>
      </w:r>
      <w:r w:rsidR="00FB1378">
        <w:rPr>
          <w:bCs/>
          <w:i/>
          <w:iCs/>
        </w:rPr>
        <w:t>94,3</w:t>
      </w:r>
      <w:r>
        <w:rPr>
          <w:bCs/>
          <w:i/>
          <w:iCs/>
        </w:rPr>
        <w:t xml:space="preserve"> – najveći razlog </w:t>
      </w:r>
      <w:r w:rsidR="00FB1378">
        <w:rPr>
          <w:bCs/>
          <w:i/>
          <w:iCs/>
        </w:rPr>
        <w:t>smanjenja</w:t>
      </w:r>
      <w:r>
        <w:rPr>
          <w:bCs/>
          <w:i/>
          <w:iCs/>
        </w:rPr>
        <w:t xml:space="preserve"> ove grupe rashoda je </w:t>
      </w:r>
      <w:r w:rsidR="00FB1378">
        <w:rPr>
          <w:bCs/>
          <w:i/>
          <w:iCs/>
        </w:rPr>
        <w:t>smanjenja</w:t>
      </w:r>
      <w:r>
        <w:rPr>
          <w:bCs/>
          <w:i/>
          <w:iCs/>
        </w:rPr>
        <w:t xml:space="preserve"> troška provizije.</w:t>
      </w:r>
    </w:p>
    <w:p w:rsidR="00EB3823" w:rsidRDefault="00EB3823">
      <w:pPr>
        <w:rPr>
          <w:bCs/>
          <w:i/>
          <w:iCs/>
        </w:rPr>
      </w:pPr>
    </w:p>
    <w:p w:rsidR="00EB3823" w:rsidRDefault="00000000">
      <w:pPr>
        <w:pStyle w:val="Heading5"/>
        <w:numPr>
          <w:ilvl w:val="0"/>
          <w:numId w:val="0"/>
        </w:numPr>
        <w:ind w:left="708"/>
      </w:pPr>
      <w:bookmarkStart w:id="17" w:name="_Toc943793"/>
      <w:r>
        <w:t>2.2.4. Pomoći dane u inozemstvo i unutar općeg proračuna</w:t>
      </w:r>
      <w:bookmarkEnd w:id="17"/>
      <w:r>
        <w:t xml:space="preserve"> - grupa konta 36 – Šifra 36     </w:t>
      </w:r>
    </w:p>
    <w:p w:rsidR="00EB3823" w:rsidRDefault="00EB3823"/>
    <w:p w:rsidR="00EB3823" w:rsidRDefault="00000000">
      <w:pPr>
        <w:rPr>
          <w:bCs/>
          <w:iCs/>
        </w:rPr>
      </w:pPr>
      <w:r>
        <w:rPr>
          <w:bCs/>
          <w:iCs/>
        </w:rPr>
        <w:t>Pomoći dane u inozemstvo i unutar općeg proračuna  obuhvaćaju:</w:t>
      </w:r>
    </w:p>
    <w:p w:rsidR="00EB3823" w:rsidRDefault="00000000">
      <w:pPr>
        <w:numPr>
          <w:ilvl w:val="0"/>
          <w:numId w:val="5"/>
        </w:numPr>
        <w:spacing w:after="0"/>
        <w:rPr>
          <w:bCs/>
          <w:iCs/>
        </w:rPr>
      </w:pPr>
      <w:r>
        <w:rPr>
          <w:bCs/>
          <w:iCs/>
        </w:rPr>
        <w:t>Tekuće pomoći proračunskim korisnicima drugih proračuna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4.</w:t>
      </w:r>
      <w:r w:rsidR="006B6B90">
        <w:rPr>
          <w:bCs/>
          <w:iCs/>
        </w:rPr>
        <w:t>262,99</w:t>
      </w:r>
      <w:r>
        <w:rPr>
          <w:bCs/>
          <w:iCs/>
        </w:rPr>
        <w:t xml:space="preserve"> eura</w:t>
      </w:r>
    </w:p>
    <w:p w:rsidR="00EB3823" w:rsidRDefault="00000000">
      <w:pPr>
        <w:numPr>
          <w:ilvl w:val="0"/>
          <w:numId w:val="5"/>
        </w:numPr>
        <w:jc w:val="both"/>
        <w:rPr>
          <w:bCs/>
          <w:iCs/>
        </w:rPr>
      </w:pPr>
      <w:r>
        <w:rPr>
          <w:bCs/>
          <w:iCs/>
        </w:rPr>
        <w:t>Tekući prijenosi između proračunskih korisnika istog proračuna</w:t>
      </w:r>
      <w:r>
        <w:rPr>
          <w:bCs/>
          <w:iCs/>
        </w:rPr>
        <w:tab/>
      </w:r>
      <w:r>
        <w:rPr>
          <w:bCs/>
          <w:iCs/>
        </w:rPr>
        <w:tab/>
        <w:t xml:space="preserve">            76.</w:t>
      </w:r>
      <w:r w:rsidR="006B6B90">
        <w:rPr>
          <w:bCs/>
          <w:iCs/>
        </w:rPr>
        <w:t>345,95</w:t>
      </w:r>
      <w:r>
        <w:rPr>
          <w:bCs/>
          <w:iCs/>
        </w:rPr>
        <w:t xml:space="preserve"> eura</w:t>
      </w:r>
    </w:p>
    <w:p w:rsidR="006B6B90" w:rsidRDefault="006B6B90">
      <w:pPr>
        <w:numPr>
          <w:ilvl w:val="0"/>
          <w:numId w:val="5"/>
        </w:numPr>
        <w:jc w:val="both"/>
        <w:rPr>
          <w:bCs/>
          <w:iCs/>
        </w:rPr>
      </w:pPr>
      <w:r>
        <w:rPr>
          <w:bCs/>
          <w:iCs/>
        </w:rPr>
        <w:t>Kapitalni prijenosi između proračunskih korisnika istog proračuna</w:t>
      </w:r>
      <w:r>
        <w:rPr>
          <w:bCs/>
          <w:iCs/>
        </w:rPr>
        <w:tab/>
        <w:t xml:space="preserve">             10.000,00 eura</w:t>
      </w:r>
    </w:p>
    <w:p w:rsidR="00EB3823" w:rsidRDefault="00000000">
      <w:pPr>
        <w:jc w:val="both"/>
        <w:rPr>
          <w:bCs/>
          <w:i/>
          <w:iCs/>
        </w:rPr>
      </w:pPr>
      <w:r>
        <w:rPr>
          <w:bCs/>
          <w:i/>
          <w:iCs/>
        </w:rPr>
        <w:t>Indeks šifre iznosi 1</w:t>
      </w:r>
      <w:r w:rsidR="006B6B90">
        <w:rPr>
          <w:bCs/>
          <w:i/>
          <w:iCs/>
        </w:rPr>
        <w:t>11,3</w:t>
      </w:r>
      <w:r>
        <w:rPr>
          <w:bCs/>
          <w:i/>
          <w:iCs/>
        </w:rPr>
        <w:t xml:space="preserve"> – Odnose na sufinanciranje školama  za projekte koje provode i na obvezu uplate naknade Ustanova ima obvezu uplate 3% ostvarenih prihoda</w:t>
      </w:r>
      <w:r w:rsidR="00BB545A">
        <w:rPr>
          <w:bCs/>
          <w:i/>
          <w:iCs/>
        </w:rPr>
        <w:t xml:space="preserve"> na </w:t>
      </w:r>
      <w:r>
        <w:rPr>
          <w:bCs/>
          <w:i/>
          <w:iCs/>
        </w:rPr>
        <w:t xml:space="preserve"> temelj</w:t>
      </w:r>
      <w:r w:rsidR="00BB545A">
        <w:rPr>
          <w:bCs/>
          <w:i/>
          <w:iCs/>
        </w:rPr>
        <w:t>u</w:t>
      </w:r>
      <w:r>
        <w:rPr>
          <w:bCs/>
          <w:i/>
          <w:iCs/>
        </w:rPr>
        <w:t xml:space="preserve"> Pravilnika o mjerilima i načinu korištenja donacija i vlastitih prihoda nacionalnih parkova i parkova prirode (NN 65/2017) u državni proračun na izdvojeni izvor sredstava pod nazivom Zajednička sredstva parkova Hrvatske na ime čega je uplaćeno 7</w:t>
      </w:r>
      <w:r w:rsidR="00156330">
        <w:rPr>
          <w:bCs/>
          <w:i/>
          <w:iCs/>
        </w:rPr>
        <w:t>4</w:t>
      </w:r>
      <w:r>
        <w:rPr>
          <w:bCs/>
          <w:i/>
          <w:iCs/>
        </w:rPr>
        <w:t>.</w:t>
      </w:r>
      <w:r w:rsidR="00156330">
        <w:rPr>
          <w:bCs/>
          <w:i/>
          <w:iCs/>
        </w:rPr>
        <w:t>845,95</w:t>
      </w:r>
      <w:r>
        <w:rPr>
          <w:bCs/>
          <w:i/>
          <w:iCs/>
        </w:rPr>
        <w:t xml:space="preserve"> eura</w:t>
      </w:r>
      <w:r w:rsidR="00156330">
        <w:rPr>
          <w:bCs/>
          <w:i/>
          <w:iCs/>
        </w:rPr>
        <w:t xml:space="preserve"> i Agronomskom fakultetu sufinanciranje istraživanja u iznosu od 1.500,00 eura</w:t>
      </w:r>
      <w:r>
        <w:rPr>
          <w:bCs/>
          <w:i/>
          <w:iCs/>
        </w:rPr>
        <w:t>.</w:t>
      </w:r>
      <w:r w:rsidR="00156330">
        <w:rPr>
          <w:bCs/>
          <w:i/>
          <w:iCs/>
        </w:rPr>
        <w:t xml:space="preserve"> Ministarstvu unutarnjih poslova sufinancirali smo obnovu policij</w:t>
      </w:r>
      <w:r w:rsidR="009377C7">
        <w:rPr>
          <w:bCs/>
          <w:i/>
          <w:iCs/>
        </w:rPr>
        <w:t>ske</w:t>
      </w:r>
      <w:r w:rsidR="00156330">
        <w:rPr>
          <w:bCs/>
          <w:i/>
          <w:iCs/>
        </w:rPr>
        <w:t xml:space="preserve"> postaje na otoku Mljetu koja nije bila u funkciji u iznosu od 10.000,00 eura. </w:t>
      </w:r>
    </w:p>
    <w:p w:rsidR="00EB3823" w:rsidRDefault="00EB3823">
      <w:pPr>
        <w:pStyle w:val="Heading5"/>
        <w:numPr>
          <w:ilvl w:val="0"/>
          <w:numId w:val="0"/>
        </w:numPr>
        <w:ind w:left="1428" w:hanging="720"/>
      </w:pPr>
    </w:p>
    <w:p w:rsidR="00EB3823" w:rsidRDefault="00EB3823"/>
    <w:p w:rsidR="00EB3823" w:rsidRDefault="00000000">
      <w:pPr>
        <w:pStyle w:val="Heading5"/>
        <w:numPr>
          <w:ilvl w:val="0"/>
          <w:numId w:val="0"/>
        </w:numPr>
        <w:ind w:left="708"/>
      </w:pPr>
      <w:bookmarkStart w:id="18" w:name="_Toc943795"/>
      <w:r>
        <w:t>2.2.5. Ostali rashodi</w:t>
      </w:r>
      <w:bookmarkEnd w:id="18"/>
      <w:r>
        <w:t xml:space="preserve">- grupa konta 38 – Šifra 38     </w:t>
      </w:r>
    </w:p>
    <w:p w:rsidR="00EB3823" w:rsidRDefault="00EB3823">
      <w:pPr>
        <w:rPr>
          <w:bCs/>
          <w:i/>
          <w:iCs/>
        </w:rPr>
      </w:pPr>
    </w:p>
    <w:p w:rsidR="00EB3823" w:rsidRDefault="00000000">
      <w:pPr>
        <w:rPr>
          <w:bCs/>
          <w:i/>
          <w:iCs/>
        </w:rPr>
      </w:pPr>
      <w:r>
        <w:rPr>
          <w:bCs/>
          <w:i/>
          <w:iCs/>
        </w:rPr>
        <w:t>Ostali rashodi:</w:t>
      </w:r>
    </w:p>
    <w:p w:rsidR="00EB3823" w:rsidRDefault="00000000">
      <w:pPr>
        <w:numPr>
          <w:ilvl w:val="0"/>
          <w:numId w:val="5"/>
        </w:numPr>
        <w:spacing w:after="0"/>
        <w:rPr>
          <w:bCs/>
          <w:i/>
          <w:iCs/>
        </w:rPr>
      </w:pPr>
      <w:r>
        <w:rPr>
          <w:bCs/>
          <w:i/>
          <w:iCs/>
        </w:rPr>
        <w:t xml:space="preserve"> Tekuće donacije (udrugama, sportskim društvima,…)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           </w:t>
      </w:r>
      <w:r w:rsidR="00AA117C">
        <w:rPr>
          <w:bCs/>
          <w:i/>
          <w:iCs/>
        </w:rPr>
        <w:t>83.567,34</w:t>
      </w:r>
      <w:r>
        <w:rPr>
          <w:bCs/>
          <w:i/>
          <w:iCs/>
        </w:rPr>
        <w:t xml:space="preserve"> eura </w:t>
      </w:r>
    </w:p>
    <w:p w:rsidR="00EB3823" w:rsidRDefault="00EB3823">
      <w:pPr>
        <w:spacing w:after="0"/>
        <w:ind w:left="643"/>
        <w:rPr>
          <w:bCs/>
          <w:i/>
          <w:iCs/>
        </w:rPr>
      </w:pPr>
    </w:p>
    <w:p w:rsidR="00EB3823" w:rsidRDefault="00EB3823">
      <w:pPr>
        <w:rPr>
          <w:bCs/>
          <w:i/>
          <w:iCs/>
        </w:rPr>
      </w:pPr>
    </w:p>
    <w:p w:rsidR="00EB3823" w:rsidRDefault="00000000">
      <w:pPr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 xml:space="preserve">Indeks šifre 38 iznosi </w:t>
      </w:r>
      <w:r w:rsidR="00AA117C">
        <w:rPr>
          <w:bCs/>
          <w:i/>
          <w:iCs/>
        </w:rPr>
        <w:t>234,7</w:t>
      </w:r>
      <w:r>
        <w:rPr>
          <w:bCs/>
          <w:i/>
          <w:iCs/>
        </w:rPr>
        <w:t xml:space="preserve"> – </w:t>
      </w:r>
      <w:r w:rsidR="00AA117C">
        <w:rPr>
          <w:bCs/>
          <w:i/>
          <w:iCs/>
        </w:rPr>
        <w:t>povećanje</w:t>
      </w:r>
      <w:r>
        <w:rPr>
          <w:bCs/>
          <w:i/>
          <w:iCs/>
        </w:rPr>
        <w:t xml:space="preserve"> ove grupe rashoda je zbog toga što je JU NP Mljet u 202</w:t>
      </w:r>
      <w:r w:rsidR="00AA117C">
        <w:rPr>
          <w:bCs/>
          <w:i/>
          <w:iCs/>
        </w:rPr>
        <w:t>4</w:t>
      </w:r>
      <w:r>
        <w:rPr>
          <w:bCs/>
          <w:i/>
          <w:iCs/>
        </w:rPr>
        <w:t>. godini sufinancirala nabavu brodskih elektromotora stanovnicima zbog zaštite i očuvanja povoljnog stanja morskog ekosustava NP Mljet, a ujedno i smanjenja onečišćenja okoliša kroz smanjuje emisije CO2.</w:t>
      </w:r>
    </w:p>
    <w:p w:rsidR="00EB3823" w:rsidRDefault="00000000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Šifra 3 – 1</w:t>
      </w:r>
      <w:r w:rsidR="00AA117C">
        <w:rPr>
          <w:b/>
          <w:bCs/>
          <w:i/>
          <w:iCs/>
        </w:rPr>
        <w:t>13,4</w:t>
      </w:r>
      <w:r>
        <w:rPr>
          <w:b/>
          <w:bCs/>
          <w:i/>
          <w:iCs/>
        </w:rPr>
        <w:t xml:space="preserve">  – Ukupni rashodi poslovanja  Javne ustanove Nacionalni park Mljet za 202</w:t>
      </w:r>
      <w:r w:rsidR="00AA117C">
        <w:rPr>
          <w:b/>
          <w:bCs/>
          <w:i/>
          <w:iCs/>
        </w:rPr>
        <w:t>5</w:t>
      </w:r>
      <w:r>
        <w:rPr>
          <w:b/>
          <w:bCs/>
          <w:i/>
          <w:iCs/>
        </w:rPr>
        <w:t>. godinu iznose 3.</w:t>
      </w:r>
      <w:r w:rsidR="00AA117C">
        <w:rPr>
          <w:b/>
          <w:bCs/>
          <w:i/>
          <w:iCs/>
        </w:rPr>
        <w:t>555.034,70</w:t>
      </w:r>
      <w:r>
        <w:rPr>
          <w:b/>
          <w:bCs/>
          <w:i/>
          <w:iCs/>
        </w:rPr>
        <w:t xml:space="preserve"> eura što je povećanje od </w:t>
      </w:r>
      <w:r w:rsidR="00AA117C">
        <w:rPr>
          <w:b/>
          <w:bCs/>
          <w:i/>
          <w:iCs/>
        </w:rPr>
        <w:t>13,4</w:t>
      </w:r>
      <w:r>
        <w:rPr>
          <w:b/>
          <w:bCs/>
          <w:i/>
          <w:iCs/>
        </w:rPr>
        <w:t>% u odnosu na 202</w:t>
      </w:r>
      <w:r w:rsidR="00AA117C">
        <w:rPr>
          <w:b/>
          <w:bCs/>
          <w:i/>
          <w:iCs/>
        </w:rPr>
        <w:t>4</w:t>
      </w:r>
      <w:r>
        <w:rPr>
          <w:b/>
          <w:bCs/>
          <w:i/>
          <w:iCs/>
        </w:rPr>
        <w:t xml:space="preserve">. godinu. </w:t>
      </w:r>
    </w:p>
    <w:p w:rsidR="00EB3823" w:rsidRDefault="00EB3823">
      <w:pPr>
        <w:rPr>
          <w:b/>
          <w:bCs/>
          <w:i/>
          <w:iCs/>
        </w:rPr>
      </w:pPr>
    </w:p>
    <w:p w:rsidR="00EB3823" w:rsidRDefault="00000000">
      <w:pPr>
        <w:pStyle w:val="Heading4"/>
        <w:numPr>
          <w:ilvl w:val="1"/>
          <w:numId w:val="6"/>
        </w:numPr>
      </w:pPr>
      <w:bookmarkStart w:id="19" w:name="_Toc943796"/>
      <w:r>
        <w:t>Rashodi za nabavu nefinancijske imovine</w:t>
      </w:r>
      <w:bookmarkEnd w:id="19"/>
    </w:p>
    <w:p w:rsidR="00EB3823" w:rsidRDefault="00EB3823"/>
    <w:p w:rsidR="00EB3823" w:rsidRDefault="0000000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hr-HR"/>
        </w:rPr>
      </w:pPr>
      <w:r>
        <w:rPr>
          <w:rFonts w:ascii="Calibri" w:eastAsia="Times New Roman" w:hAnsi="Calibri" w:cs="Times New Roman"/>
          <w:sz w:val="24"/>
          <w:szCs w:val="20"/>
          <w:lang w:eastAsia="hr-HR"/>
        </w:rPr>
        <w:t>U financijskim izvještajima za razdoblje od siječnja do prosinca 202</w:t>
      </w:r>
      <w:r w:rsidR="00AF1E64">
        <w:rPr>
          <w:rFonts w:ascii="Calibri" w:eastAsia="Times New Roman" w:hAnsi="Calibri" w:cs="Times New Roman"/>
          <w:sz w:val="24"/>
          <w:szCs w:val="20"/>
          <w:lang w:eastAsia="hr-HR"/>
        </w:rPr>
        <w:t>5</w:t>
      </w:r>
      <w:r>
        <w:rPr>
          <w:rFonts w:ascii="Calibri" w:eastAsia="Times New Roman" w:hAnsi="Calibri" w:cs="Times New Roman"/>
          <w:sz w:val="24"/>
          <w:szCs w:val="20"/>
          <w:lang w:eastAsia="hr-HR"/>
        </w:rPr>
        <w:t>. godine rashodi za nabavku nefinancijske imovine Ustanove evidentirani su u skladu s odredbama Pravilnika o proračunskom računovodstvu i Računskom planu i u cijelosti priznati u trenutku nabavke.</w:t>
      </w:r>
    </w:p>
    <w:p w:rsidR="00EB3823" w:rsidRDefault="00EB3823"/>
    <w:tbl>
      <w:tblPr>
        <w:tblW w:w="926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73"/>
        <w:gridCol w:w="4656"/>
        <w:gridCol w:w="629"/>
        <w:gridCol w:w="1209"/>
        <w:gridCol w:w="1210"/>
        <w:gridCol w:w="789"/>
      </w:tblGrid>
      <w:tr w:rsidR="00EB3823">
        <w:trPr>
          <w:trHeight w:val="1087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80"/>
            </w:tcBorders>
            <w:shd w:val="pct25" w:color="C0C0C0" w:fill="FFFFFF"/>
          </w:tcPr>
          <w:p w:rsidR="00EB3823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Račun iz rač. plana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80"/>
              <w:bottom w:val="nil"/>
              <w:right w:val="single" w:sz="6" w:space="0" w:color="000080"/>
            </w:tcBorders>
            <w:shd w:val="pct25" w:color="C0C0C0" w:fill="FFFFFF"/>
          </w:tcPr>
          <w:p w:rsidR="00EB3823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Naziv stavke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80"/>
              <w:bottom w:val="nil"/>
              <w:right w:val="single" w:sz="6" w:space="0" w:color="000080"/>
            </w:tcBorders>
            <w:shd w:val="pct25" w:color="C0C0C0" w:fill="FFFFFF"/>
          </w:tcPr>
          <w:p w:rsidR="00EB3823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Šifra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80"/>
              <w:bottom w:val="nil"/>
              <w:right w:val="single" w:sz="6" w:space="0" w:color="000080"/>
            </w:tcBorders>
            <w:shd w:val="pct25" w:color="C0C0C0" w:fill="FFFFFF"/>
          </w:tcPr>
          <w:p w:rsidR="00EB3823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Ostvareno u izvještajnom razdoblju prethodne godine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80"/>
              <w:bottom w:val="nil"/>
              <w:right w:val="single" w:sz="6" w:space="0" w:color="000080"/>
            </w:tcBorders>
            <w:shd w:val="pct25" w:color="C0C0C0" w:fill="FFFFFF"/>
          </w:tcPr>
          <w:p w:rsidR="00EB3823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Ostvareno u izvještajnom razdoblju </w:t>
            </w:r>
          </w:p>
          <w:p w:rsidR="00EB3823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tekuće godine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single" w:sz="6" w:space="0" w:color="000000"/>
            </w:tcBorders>
            <w:shd w:val="pct25" w:color="C0C0C0" w:fill="FFFFFF"/>
          </w:tcPr>
          <w:p w:rsidR="00EB3823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</w:p>
          <w:p w:rsidR="00EB3823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(5/4)</w:t>
            </w:r>
          </w:p>
        </w:tc>
      </w:tr>
      <w:tr w:rsidR="00EB3823">
        <w:trPr>
          <w:trHeight w:val="290"/>
        </w:trPr>
        <w:tc>
          <w:tcPr>
            <w:tcW w:w="7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80"/>
            </w:tcBorders>
            <w:shd w:val="solid" w:color="FFFFCC" w:fill="auto"/>
          </w:tcPr>
          <w:p w:rsidR="00EB3823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1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000080"/>
              <w:bottom w:val="single" w:sz="6" w:space="0" w:color="auto"/>
              <w:right w:val="single" w:sz="6" w:space="0" w:color="000080"/>
            </w:tcBorders>
            <w:shd w:val="solid" w:color="FFFFCC" w:fill="auto"/>
          </w:tcPr>
          <w:p w:rsidR="00EB3823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000080"/>
              <w:bottom w:val="single" w:sz="6" w:space="0" w:color="auto"/>
              <w:right w:val="single" w:sz="6" w:space="0" w:color="000080"/>
            </w:tcBorders>
            <w:shd w:val="solid" w:color="FFFFCC" w:fill="auto"/>
          </w:tcPr>
          <w:p w:rsidR="00EB3823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000080"/>
              <w:bottom w:val="single" w:sz="6" w:space="0" w:color="auto"/>
              <w:right w:val="single" w:sz="6" w:space="0" w:color="000080"/>
            </w:tcBorders>
            <w:shd w:val="solid" w:color="FFFFCC" w:fill="auto"/>
          </w:tcPr>
          <w:p w:rsidR="00EB3823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4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000080"/>
              <w:bottom w:val="single" w:sz="6" w:space="0" w:color="auto"/>
              <w:right w:val="single" w:sz="6" w:space="0" w:color="000080"/>
            </w:tcBorders>
            <w:shd w:val="solid" w:color="FFFFCC" w:fill="auto"/>
          </w:tcPr>
          <w:p w:rsidR="00EB3823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5</w:t>
            </w:r>
          </w:p>
        </w:tc>
        <w:tc>
          <w:tcPr>
            <w:tcW w:w="789" w:type="dxa"/>
            <w:tcBorders>
              <w:top w:val="nil"/>
              <w:left w:val="single" w:sz="6" w:space="0" w:color="000080"/>
              <w:bottom w:val="single" w:sz="6" w:space="0" w:color="auto"/>
              <w:right w:val="single" w:sz="6" w:space="0" w:color="000000"/>
            </w:tcBorders>
            <w:shd w:val="solid" w:color="FFFFCC" w:fill="auto"/>
          </w:tcPr>
          <w:p w:rsidR="00EB3823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</w:t>
            </w:r>
          </w:p>
        </w:tc>
      </w:tr>
      <w:tr w:rsidR="00EB3823">
        <w:trPr>
          <w:trHeight w:val="290"/>
        </w:trPr>
        <w:tc>
          <w:tcPr>
            <w:tcW w:w="5429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C0C0C0"/>
              <w:right w:val="single" w:sz="6" w:space="0" w:color="000080"/>
            </w:tcBorders>
            <w:shd w:val="solid" w:color="C0C0C0" w:fill="auto"/>
          </w:tcPr>
          <w:p w:rsidR="00EB3823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Rashodi za nabavu nefinancijske imovine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000080"/>
              <w:bottom w:val="single" w:sz="6" w:space="0" w:color="C0C0C0"/>
              <w:right w:val="single" w:sz="6" w:space="0" w:color="000080"/>
            </w:tcBorders>
            <w:shd w:val="solid" w:color="C0C0C0" w:fill="auto"/>
          </w:tcPr>
          <w:p w:rsidR="00EB3823" w:rsidRDefault="00EB38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000080"/>
              <w:bottom w:val="single" w:sz="6" w:space="0" w:color="C0C0C0"/>
              <w:right w:val="single" w:sz="6" w:space="0" w:color="000080"/>
            </w:tcBorders>
            <w:shd w:val="solid" w:color="C0C0C0" w:fill="auto"/>
          </w:tcPr>
          <w:p w:rsidR="00EB3823" w:rsidRDefault="00EB38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000080"/>
              <w:bottom w:val="single" w:sz="6" w:space="0" w:color="C0C0C0"/>
              <w:right w:val="single" w:sz="6" w:space="0" w:color="000080"/>
            </w:tcBorders>
            <w:shd w:val="solid" w:color="C0C0C0" w:fill="auto"/>
          </w:tcPr>
          <w:p w:rsidR="00EB3823" w:rsidRDefault="00EB38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000080"/>
              <w:bottom w:val="single" w:sz="6" w:space="0" w:color="C0C0C0"/>
              <w:right w:val="single" w:sz="6" w:space="0" w:color="000000"/>
            </w:tcBorders>
            <w:shd w:val="solid" w:color="C0C0C0" w:fill="auto"/>
          </w:tcPr>
          <w:p w:rsidR="00EB3823" w:rsidRDefault="00EB38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</w:rPr>
            </w:pPr>
          </w:p>
        </w:tc>
      </w:tr>
      <w:tr w:rsidR="00AF1E64">
        <w:trPr>
          <w:trHeight w:val="290"/>
        </w:trPr>
        <w:tc>
          <w:tcPr>
            <w:tcW w:w="773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6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Rashodi za nabavu nefinancijske imovine </w:t>
            </w:r>
          </w:p>
        </w:tc>
        <w:tc>
          <w:tcPr>
            <w:tcW w:w="629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09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328,619,5</w:t>
            </w:r>
          </w:p>
        </w:tc>
        <w:tc>
          <w:tcPr>
            <w:tcW w:w="1210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5074A5" w:rsidP="00AF1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431.033,32</w:t>
            </w:r>
          </w:p>
        </w:tc>
        <w:tc>
          <w:tcPr>
            <w:tcW w:w="789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00"/>
            </w:tcBorders>
          </w:tcPr>
          <w:p w:rsidR="00AF1E64" w:rsidRDefault="005074A5" w:rsidP="00AF1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131,2</w:t>
            </w:r>
          </w:p>
        </w:tc>
      </w:tr>
      <w:tr w:rsidR="00AF1E64">
        <w:trPr>
          <w:trHeight w:val="290"/>
        </w:trPr>
        <w:tc>
          <w:tcPr>
            <w:tcW w:w="773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656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Rashodi za nabavu neproizvedene dugotrajne imovine </w:t>
            </w:r>
          </w:p>
        </w:tc>
        <w:tc>
          <w:tcPr>
            <w:tcW w:w="629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09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11.408,46</w:t>
            </w:r>
          </w:p>
        </w:tc>
        <w:tc>
          <w:tcPr>
            <w:tcW w:w="1210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5074A5" w:rsidP="00AF1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17.293,44</w:t>
            </w:r>
          </w:p>
        </w:tc>
        <w:tc>
          <w:tcPr>
            <w:tcW w:w="789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00"/>
            </w:tcBorders>
          </w:tcPr>
          <w:p w:rsidR="00AF1E64" w:rsidRDefault="005074A5" w:rsidP="00AF1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151,6</w:t>
            </w:r>
          </w:p>
        </w:tc>
      </w:tr>
      <w:tr w:rsidR="00AF1E64">
        <w:trPr>
          <w:trHeight w:val="290"/>
        </w:trPr>
        <w:tc>
          <w:tcPr>
            <w:tcW w:w="773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656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Rashodi za nabavu proizvedene dugotrajne imovine </w:t>
            </w:r>
          </w:p>
        </w:tc>
        <w:tc>
          <w:tcPr>
            <w:tcW w:w="629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09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310.244,60</w:t>
            </w:r>
          </w:p>
        </w:tc>
        <w:tc>
          <w:tcPr>
            <w:tcW w:w="1210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5074A5" w:rsidP="00AF1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389.147,34</w:t>
            </w:r>
          </w:p>
        </w:tc>
        <w:tc>
          <w:tcPr>
            <w:tcW w:w="789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00"/>
            </w:tcBorders>
          </w:tcPr>
          <w:p w:rsidR="00AF1E64" w:rsidRDefault="005074A5" w:rsidP="00AF1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125,4</w:t>
            </w:r>
          </w:p>
        </w:tc>
      </w:tr>
      <w:tr w:rsidR="00AF1E64">
        <w:trPr>
          <w:trHeight w:val="434"/>
        </w:trPr>
        <w:tc>
          <w:tcPr>
            <w:tcW w:w="773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656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Rashodi za nabavu plemenitih metala i ostalih pohranjenih vrijednosti </w:t>
            </w:r>
          </w:p>
        </w:tc>
        <w:tc>
          <w:tcPr>
            <w:tcW w:w="629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09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0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5074A5" w:rsidP="00AF1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9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00"/>
            </w:tcBorders>
          </w:tcPr>
          <w:p w:rsidR="00AF1E64" w:rsidRDefault="005074A5" w:rsidP="00AF1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F1E64">
        <w:trPr>
          <w:trHeight w:val="290"/>
        </w:trPr>
        <w:tc>
          <w:tcPr>
            <w:tcW w:w="773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656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Rashodi za nabavu proizvedene kratkotrajne imovine </w:t>
            </w:r>
          </w:p>
        </w:tc>
        <w:tc>
          <w:tcPr>
            <w:tcW w:w="629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09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0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5074A5" w:rsidP="00AF1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9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00"/>
            </w:tcBorders>
          </w:tcPr>
          <w:p w:rsidR="00AF1E64" w:rsidRDefault="005074A5" w:rsidP="00AF1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F1E64">
        <w:trPr>
          <w:trHeight w:val="290"/>
        </w:trPr>
        <w:tc>
          <w:tcPr>
            <w:tcW w:w="773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56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Rashodi za dodatna ulaganja na nefinancijskoj imovini </w:t>
            </w:r>
          </w:p>
        </w:tc>
        <w:tc>
          <w:tcPr>
            <w:tcW w:w="629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209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AF1E64" w:rsidP="00AF1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6.966,44</w:t>
            </w:r>
          </w:p>
        </w:tc>
        <w:tc>
          <w:tcPr>
            <w:tcW w:w="1210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:rsidR="00AF1E64" w:rsidRDefault="005074A5" w:rsidP="00AF1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24.592,54</w:t>
            </w:r>
          </w:p>
        </w:tc>
        <w:tc>
          <w:tcPr>
            <w:tcW w:w="789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00"/>
            </w:tcBorders>
          </w:tcPr>
          <w:p w:rsidR="00AF1E64" w:rsidRDefault="005074A5" w:rsidP="00AF1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353,0</w:t>
            </w:r>
          </w:p>
        </w:tc>
      </w:tr>
      <w:tr w:rsidR="00EB3823">
        <w:trPr>
          <w:trHeight w:val="290"/>
        </w:trPr>
        <w:tc>
          <w:tcPr>
            <w:tcW w:w="773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80"/>
            </w:tcBorders>
          </w:tcPr>
          <w:p w:rsidR="00EB3823" w:rsidRDefault="00EB38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56" w:type="dxa"/>
            <w:tcBorders>
              <w:top w:val="single" w:sz="6" w:space="0" w:color="C0C0C0"/>
              <w:left w:val="single" w:sz="6" w:space="0" w:color="000080"/>
              <w:bottom w:val="single" w:sz="6" w:space="0" w:color="000000"/>
              <w:right w:val="single" w:sz="6" w:space="0" w:color="000080"/>
            </w:tcBorders>
          </w:tcPr>
          <w:p w:rsidR="00EB3823" w:rsidRDefault="00EB38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6" w:space="0" w:color="C0C0C0"/>
              <w:left w:val="single" w:sz="6" w:space="0" w:color="000080"/>
              <w:bottom w:val="single" w:sz="6" w:space="0" w:color="000000"/>
              <w:right w:val="single" w:sz="6" w:space="0" w:color="000080"/>
            </w:tcBorders>
          </w:tcPr>
          <w:p w:rsidR="00EB3823" w:rsidRDefault="00EB3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C0C0C0"/>
              <w:left w:val="single" w:sz="6" w:space="0" w:color="000080"/>
              <w:bottom w:val="single" w:sz="6" w:space="0" w:color="000000"/>
              <w:right w:val="single" w:sz="6" w:space="0" w:color="000080"/>
            </w:tcBorders>
          </w:tcPr>
          <w:p w:rsidR="00EB3823" w:rsidRDefault="00EB38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C0C0C0"/>
              <w:left w:val="single" w:sz="6" w:space="0" w:color="000080"/>
              <w:bottom w:val="single" w:sz="6" w:space="0" w:color="000000"/>
              <w:right w:val="single" w:sz="6" w:space="0" w:color="000080"/>
            </w:tcBorders>
          </w:tcPr>
          <w:p w:rsidR="00EB3823" w:rsidRDefault="00EB38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6" w:space="0" w:color="C0C0C0"/>
              <w:left w:val="single" w:sz="6" w:space="0" w:color="000080"/>
              <w:bottom w:val="single" w:sz="6" w:space="0" w:color="000000"/>
              <w:right w:val="single" w:sz="6" w:space="0" w:color="000000"/>
            </w:tcBorders>
          </w:tcPr>
          <w:p w:rsidR="00EB3823" w:rsidRDefault="00EB38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B3823" w:rsidRDefault="00EB3823">
      <w:pPr>
        <w:pStyle w:val="ListParagraph"/>
        <w:keepNext/>
        <w:numPr>
          <w:ilvl w:val="1"/>
          <w:numId w:val="2"/>
        </w:numPr>
        <w:spacing w:after="0" w:line="240" w:lineRule="auto"/>
        <w:contextualSpacing w:val="0"/>
        <w:outlineLvl w:val="1"/>
        <w:rPr>
          <w:bCs/>
          <w:i/>
          <w:iCs/>
          <w:vanish/>
          <w:sz w:val="28"/>
          <w:szCs w:val="28"/>
        </w:rPr>
      </w:pPr>
      <w:bookmarkStart w:id="20" w:name="_Toc943797"/>
    </w:p>
    <w:p w:rsidR="00EB3823" w:rsidRDefault="00EB3823">
      <w:pPr>
        <w:pStyle w:val="ListParagraph"/>
        <w:keepNext/>
        <w:numPr>
          <w:ilvl w:val="1"/>
          <w:numId w:val="2"/>
        </w:numPr>
        <w:spacing w:after="0" w:line="240" w:lineRule="auto"/>
        <w:contextualSpacing w:val="0"/>
        <w:outlineLvl w:val="1"/>
        <w:rPr>
          <w:bCs/>
          <w:i/>
          <w:iCs/>
          <w:vanish/>
          <w:sz w:val="28"/>
          <w:szCs w:val="28"/>
        </w:rPr>
      </w:pPr>
    </w:p>
    <w:p w:rsidR="00EB3823" w:rsidRDefault="00EB3823">
      <w:pPr>
        <w:pStyle w:val="ListParagraph"/>
        <w:keepNext/>
        <w:numPr>
          <w:ilvl w:val="1"/>
          <w:numId w:val="2"/>
        </w:numPr>
        <w:spacing w:after="0" w:line="240" w:lineRule="auto"/>
        <w:contextualSpacing w:val="0"/>
        <w:outlineLvl w:val="1"/>
        <w:rPr>
          <w:bCs/>
          <w:i/>
          <w:iCs/>
          <w:vanish/>
          <w:sz w:val="28"/>
          <w:szCs w:val="28"/>
        </w:rPr>
      </w:pPr>
    </w:p>
    <w:p w:rsidR="00EB3823" w:rsidRDefault="00EB3823">
      <w:pPr>
        <w:pStyle w:val="ListParagraph"/>
        <w:keepNext/>
        <w:spacing w:after="0" w:line="240" w:lineRule="auto"/>
        <w:ind w:left="1712"/>
        <w:contextualSpacing w:val="0"/>
        <w:outlineLvl w:val="1"/>
      </w:pPr>
    </w:p>
    <w:p w:rsidR="00EB3823" w:rsidRDefault="00000000">
      <w:pPr>
        <w:pStyle w:val="Heading5"/>
        <w:numPr>
          <w:ilvl w:val="2"/>
          <w:numId w:val="6"/>
        </w:numPr>
      </w:pPr>
      <w:r>
        <w:t>Rashodi za nabavu neproizvedene dugotrajne imovine</w:t>
      </w:r>
      <w:bookmarkEnd w:id="20"/>
      <w:r>
        <w:t xml:space="preserve"> konta 41 – Šifra 41     </w:t>
      </w:r>
    </w:p>
    <w:p w:rsidR="00EB3823" w:rsidRDefault="00EB3823"/>
    <w:p w:rsidR="00EB3823" w:rsidRDefault="00000000">
      <w:pPr>
        <w:rPr>
          <w:bCs/>
          <w:iCs/>
        </w:rPr>
      </w:pPr>
      <w:r>
        <w:rPr>
          <w:bCs/>
          <w:iCs/>
        </w:rPr>
        <w:t>Rashodi za nabavu neproizvedene dugotrajne imovine iznose 4.120,38 eura, a sastoje se od:</w:t>
      </w:r>
    </w:p>
    <w:p w:rsidR="00EB3823" w:rsidRDefault="00EB3823">
      <w:pPr>
        <w:rPr>
          <w:bCs/>
          <w:iCs/>
        </w:rPr>
      </w:pPr>
    </w:p>
    <w:p w:rsidR="00EB3823" w:rsidRDefault="00000000">
      <w:pPr>
        <w:numPr>
          <w:ilvl w:val="0"/>
          <w:numId w:val="5"/>
        </w:numPr>
        <w:spacing w:after="0"/>
        <w:rPr>
          <w:bCs/>
          <w:iCs/>
        </w:rPr>
      </w:pPr>
      <w:r>
        <w:rPr>
          <w:bCs/>
          <w:iCs/>
        </w:rPr>
        <w:t xml:space="preserve">Koncesije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              4.314,43 eura</w:t>
      </w:r>
    </w:p>
    <w:p w:rsidR="00EB3823" w:rsidRDefault="00000000">
      <w:pPr>
        <w:numPr>
          <w:ilvl w:val="0"/>
          <w:numId w:val="5"/>
        </w:numPr>
        <w:spacing w:after="0"/>
        <w:rPr>
          <w:bCs/>
          <w:iCs/>
        </w:rPr>
      </w:pPr>
      <w:r>
        <w:rPr>
          <w:bCs/>
          <w:iCs/>
        </w:rPr>
        <w:t>Ostala prava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</w:t>
      </w:r>
      <w:r w:rsidR="005074A5">
        <w:rPr>
          <w:bCs/>
          <w:iCs/>
        </w:rPr>
        <w:t>12.979,01</w:t>
      </w:r>
      <w:r>
        <w:rPr>
          <w:bCs/>
          <w:iCs/>
        </w:rPr>
        <w:t xml:space="preserve"> eura</w:t>
      </w:r>
    </w:p>
    <w:p w:rsidR="00EB3823" w:rsidRDefault="00EB3823">
      <w:pPr>
        <w:spacing w:after="0"/>
        <w:rPr>
          <w:bCs/>
          <w:iCs/>
        </w:rPr>
      </w:pPr>
    </w:p>
    <w:p w:rsidR="00EB3823" w:rsidRDefault="00EB3823">
      <w:pPr>
        <w:spacing w:after="0"/>
        <w:ind w:left="643"/>
        <w:rPr>
          <w:bCs/>
          <w:i/>
          <w:iCs/>
        </w:rPr>
      </w:pPr>
    </w:p>
    <w:p w:rsidR="00EB3823" w:rsidRDefault="00000000">
      <w:pPr>
        <w:jc w:val="both"/>
        <w:rPr>
          <w:bCs/>
          <w:i/>
          <w:iCs/>
        </w:rPr>
      </w:pPr>
      <w:r>
        <w:rPr>
          <w:bCs/>
          <w:i/>
          <w:iCs/>
        </w:rPr>
        <w:t xml:space="preserve">Indeks šifre 41 iznosi </w:t>
      </w:r>
      <w:r w:rsidR="005074A5">
        <w:rPr>
          <w:bCs/>
          <w:i/>
          <w:iCs/>
        </w:rPr>
        <w:t>151,6</w:t>
      </w:r>
      <w:r>
        <w:rPr>
          <w:bCs/>
          <w:i/>
          <w:iCs/>
        </w:rPr>
        <w:t xml:space="preserve"> – razlog povećanja ove grupe rashoda ulaganje u tuđu imovinu</w:t>
      </w:r>
      <w:r>
        <w:rPr>
          <w:bCs/>
          <w:i/>
          <w:iCs/>
          <w:sz w:val="24"/>
          <w:szCs w:val="24"/>
        </w:rPr>
        <w:t xml:space="preserve"> na objektu Planjak.</w:t>
      </w:r>
    </w:p>
    <w:p w:rsidR="00EB3823" w:rsidRDefault="00EB3823"/>
    <w:p w:rsidR="00EB3823" w:rsidRDefault="00000000">
      <w:pPr>
        <w:pStyle w:val="Heading5"/>
        <w:numPr>
          <w:ilvl w:val="2"/>
          <w:numId w:val="6"/>
        </w:numPr>
        <w:ind w:left="1428"/>
      </w:pPr>
      <w:bookmarkStart w:id="21" w:name="_Toc943798"/>
      <w:r>
        <w:t>Rashodi za nabavu proizvedene dugotrajne imovine</w:t>
      </w:r>
      <w:bookmarkEnd w:id="21"/>
      <w:r>
        <w:t xml:space="preserve"> konta 42 – Šifra 42     </w:t>
      </w:r>
    </w:p>
    <w:p w:rsidR="00EB3823" w:rsidRDefault="00EB3823">
      <w:pPr>
        <w:rPr>
          <w:bCs/>
          <w:i/>
          <w:iCs/>
        </w:rPr>
      </w:pPr>
    </w:p>
    <w:p w:rsidR="00EB3823" w:rsidRDefault="00000000">
      <w:pPr>
        <w:rPr>
          <w:bCs/>
          <w:iCs/>
        </w:rPr>
      </w:pPr>
      <w:r>
        <w:rPr>
          <w:bCs/>
          <w:iCs/>
        </w:rPr>
        <w:t>Rashodi za nabavu proizvedene dugotrajne imovine iznose 3</w:t>
      </w:r>
      <w:r w:rsidR="00806457">
        <w:rPr>
          <w:bCs/>
          <w:iCs/>
        </w:rPr>
        <w:t>89</w:t>
      </w:r>
      <w:r>
        <w:rPr>
          <w:bCs/>
          <w:iCs/>
        </w:rPr>
        <w:t>.</w:t>
      </w:r>
      <w:r w:rsidR="00806457">
        <w:rPr>
          <w:bCs/>
          <w:iCs/>
        </w:rPr>
        <w:t>147</w:t>
      </w:r>
      <w:r>
        <w:rPr>
          <w:bCs/>
          <w:iCs/>
        </w:rPr>
        <w:t>,</w:t>
      </w:r>
      <w:r w:rsidR="00806457">
        <w:rPr>
          <w:bCs/>
          <w:iCs/>
        </w:rPr>
        <w:t>34</w:t>
      </w:r>
      <w:r>
        <w:rPr>
          <w:bCs/>
          <w:iCs/>
        </w:rPr>
        <w:t xml:space="preserve"> eura, a sastoji se  od :</w:t>
      </w:r>
      <w:r>
        <w:rPr>
          <w:bCs/>
          <w:iCs/>
        </w:rPr>
        <w:tab/>
      </w:r>
      <w:r>
        <w:rPr>
          <w:bCs/>
          <w:iCs/>
        </w:rPr>
        <w:tab/>
        <w:t xml:space="preserve">          </w:t>
      </w:r>
    </w:p>
    <w:p w:rsidR="00806457" w:rsidRDefault="00806457">
      <w:pPr>
        <w:numPr>
          <w:ilvl w:val="0"/>
          <w:numId w:val="5"/>
        </w:numPr>
        <w:spacing w:after="0"/>
        <w:rPr>
          <w:bCs/>
          <w:iCs/>
        </w:rPr>
      </w:pPr>
      <w:r>
        <w:rPr>
          <w:bCs/>
          <w:iCs/>
        </w:rPr>
        <w:t>Poslovni objekti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     15.400,00 eura</w:t>
      </w:r>
    </w:p>
    <w:p w:rsidR="00EB3823" w:rsidRDefault="00000000">
      <w:pPr>
        <w:numPr>
          <w:ilvl w:val="0"/>
          <w:numId w:val="5"/>
        </w:numPr>
        <w:spacing w:after="0"/>
        <w:rPr>
          <w:bCs/>
          <w:iCs/>
        </w:rPr>
      </w:pPr>
      <w:r>
        <w:rPr>
          <w:bCs/>
          <w:iCs/>
        </w:rPr>
        <w:t xml:space="preserve">Ceste, željeznice i ostali prometni objekti                                                                  </w:t>
      </w:r>
      <w:r w:rsidR="00806457">
        <w:rPr>
          <w:bCs/>
          <w:iCs/>
        </w:rPr>
        <w:t xml:space="preserve"> 14.580,00</w:t>
      </w:r>
      <w:r>
        <w:rPr>
          <w:bCs/>
          <w:iCs/>
        </w:rPr>
        <w:t xml:space="preserve"> eura</w:t>
      </w:r>
    </w:p>
    <w:p w:rsidR="00EB3823" w:rsidRDefault="00000000">
      <w:pPr>
        <w:numPr>
          <w:ilvl w:val="0"/>
          <w:numId w:val="5"/>
        </w:numPr>
        <w:spacing w:after="0"/>
        <w:rPr>
          <w:bCs/>
          <w:iCs/>
        </w:rPr>
      </w:pPr>
      <w:r>
        <w:rPr>
          <w:bCs/>
          <w:iCs/>
        </w:rPr>
        <w:t>Postrojenja i oprema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     </w:t>
      </w:r>
      <w:r w:rsidR="00806457">
        <w:rPr>
          <w:bCs/>
          <w:iCs/>
        </w:rPr>
        <w:t>32.228,65</w:t>
      </w:r>
      <w:r>
        <w:rPr>
          <w:bCs/>
          <w:iCs/>
        </w:rPr>
        <w:t xml:space="preserve"> eura</w:t>
      </w:r>
    </w:p>
    <w:p w:rsidR="00EB3823" w:rsidRDefault="00000000">
      <w:pPr>
        <w:numPr>
          <w:ilvl w:val="0"/>
          <w:numId w:val="5"/>
        </w:numPr>
        <w:spacing w:after="0"/>
        <w:rPr>
          <w:bCs/>
          <w:iCs/>
        </w:rPr>
      </w:pPr>
      <w:r>
        <w:rPr>
          <w:bCs/>
          <w:iCs/>
        </w:rPr>
        <w:t>Prijevozna sredstva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   </w:t>
      </w:r>
      <w:r w:rsidR="00806457">
        <w:rPr>
          <w:bCs/>
          <w:iCs/>
        </w:rPr>
        <w:t xml:space="preserve">318.388,69 </w:t>
      </w:r>
      <w:r>
        <w:rPr>
          <w:bCs/>
          <w:iCs/>
        </w:rPr>
        <w:t>eura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 </w:t>
      </w:r>
    </w:p>
    <w:p w:rsidR="00EB3823" w:rsidRDefault="00000000">
      <w:pPr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</w:rPr>
        <w:t xml:space="preserve">Indeks šifre 42 iznosi </w:t>
      </w:r>
      <w:r w:rsidR="00806457">
        <w:rPr>
          <w:bCs/>
          <w:i/>
          <w:iCs/>
        </w:rPr>
        <w:t>125,4</w:t>
      </w:r>
      <w:r>
        <w:rPr>
          <w:bCs/>
          <w:i/>
          <w:iCs/>
        </w:rPr>
        <w:t xml:space="preserve"> -  </w:t>
      </w:r>
      <w:r w:rsidR="00806457">
        <w:rPr>
          <w:bCs/>
          <w:i/>
          <w:iCs/>
        </w:rPr>
        <w:t>u 2025. godini imali</w:t>
      </w:r>
      <w:r w:rsidR="003E4A21">
        <w:rPr>
          <w:bCs/>
          <w:i/>
          <w:iCs/>
        </w:rPr>
        <w:t xml:space="preserve"> </w:t>
      </w:r>
      <w:r w:rsidR="00806457">
        <w:rPr>
          <w:bCs/>
          <w:i/>
          <w:iCs/>
        </w:rPr>
        <w:t xml:space="preserve"> idejni projekt za </w:t>
      </w:r>
      <w:r w:rsidR="003E4A21">
        <w:rPr>
          <w:bCs/>
          <w:i/>
          <w:iCs/>
        </w:rPr>
        <w:t xml:space="preserve">poslovni objekt i </w:t>
      </w:r>
      <w:r w:rsidR="00806457">
        <w:rPr>
          <w:bCs/>
          <w:i/>
          <w:iCs/>
        </w:rPr>
        <w:t>cestu, nabavu nove opreme i nabavu višenamjenskog šumskog vozila.</w:t>
      </w:r>
    </w:p>
    <w:p w:rsidR="00EB3823" w:rsidRDefault="00000000">
      <w:pPr>
        <w:rPr>
          <w:bCs/>
          <w:iCs/>
        </w:rPr>
      </w:pPr>
      <w:r>
        <w:rPr>
          <w:bCs/>
          <w:i/>
          <w:iCs/>
          <w:sz w:val="24"/>
          <w:szCs w:val="24"/>
        </w:rPr>
        <w:tab/>
      </w:r>
      <w:r>
        <w:rPr>
          <w:rFonts w:asciiTheme="majorHAnsi" w:eastAsiaTheme="majorEastAsia" w:hAnsiTheme="majorHAnsi" w:cstheme="majorBidi"/>
          <w:b/>
          <w:i/>
          <w:sz w:val="24"/>
        </w:rPr>
        <w:t>2.3.3</w:t>
      </w:r>
      <w:r>
        <w:rPr>
          <w:b/>
        </w:rPr>
        <w:t xml:space="preserve">. </w:t>
      </w:r>
      <w:bookmarkStart w:id="22" w:name="_Toc943799"/>
      <w:r>
        <w:rPr>
          <w:rFonts w:asciiTheme="majorHAnsi" w:eastAsiaTheme="majorEastAsia" w:hAnsiTheme="majorHAnsi" w:cstheme="majorBidi"/>
          <w:b/>
          <w:i/>
          <w:sz w:val="24"/>
        </w:rPr>
        <w:t>Rashodi za dodatna ulaganja na nefinancijskoj imovini</w:t>
      </w:r>
      <w:bookmarkEnd w:id="22"/>
      <w:r>
        <w:rPr>
          <w:rFonts w:asciiTheme="majorHAnsi" w:eastAsiaTheme="majorEastAsia" w:hAnsiTheme="majorHAnsi" w:cstheme="majorBidi"/>
          <w:b/>
          <w:i/>
          <w:sz w:val="24"/>
        </w:rPr>
        <w:t xml:space="preserve"> konta 45 –</w:t>
      </w:r>
      <w:r>
        <w:t xml:space="preserve"> </w:t>
      </w:r>
      <w:r>
        <w:rPr>
          <w:rFonts w:asciiTheme="majorHAnsi" w:eastAsiaTheme="majorEastAsia" w:hAnsiTheme="majorHAnsi" w:cstheme="majorBidi"/>
          <w:b/>
          <w:i/>
          <w:sz w:val="24"/>
        </w:rPr>
        <w:t>Šifra</w:t>
      </w:r>
      <w:r>
        <w:t xml:space="preserve"> </w:t>
      </w:r>
      <w:r>
        <w:rPr>
          <w:b/>
        </w:rPr>
        <w:t>45</w:t>
      </w:r>
      <w:r>
        <w:rPr>
          <w:rFonts w:asciiTheme="majorHAnsi" w:eastAsiaTheme="majorEastAsia" w:hAnsiTheme="majorHAnsi" w:cstheme="majorBidi"/>
          <w:b/>
          <w:i/>
          <w:sz w:val="24"/>
        </w:rPr>
        <w:t xml:space="preserve">     </w:t>
      </w:r>
    </w:p>
    <w:p w:rsidR="00EB3823" w:rsidRDefault="00000000">
      <w:r>
        <w:rPr>
          <w:bCs/>
          <w:iCs/>
        </w:rPr>
        <w:t xml:space="preserve">Rashodi za dodatna ulaganja na nefinancijskoj imovini iznose </w:t>
      </w:r>
      <w:r w:rsidR="003E4A21">
        <w:rPr>
          <w:bCs/>
          <w:iCs/>
        </w:rPr>
        <w:t>24.592,54</w:t>
      </w:r>
      <w:r>
        <w:rPr>
          <w:bCs/>
          <w:iCs/>
        </w:rPr>
        <w:t xml:space="preserve"> eura odnosi se na dodatna ulaganja na građevinskim objektima</w:t>
      </w:r>
      <w:r w:rsidR="003E4A21">
        <w:rPr>
          <w:bCs/>
          <w:iCs/>
        </w:rPr>
        <w:t xml:space="preserve"> </w:t>
      </w:r>
      <w:r>
        <w:rPr>
          <w:bCs/>
          <w:iCs/>
        </w:rPr>
        <w:t xml:space="preserve">i </w:t>
      </w:r>
      <w:r w:rsidR="003E4A21">
        <w:rPr>
          <w:bCs/>
          <w:iCs/>
        </w:rPr>
        <w:t>prijevoznim sredstvima</w:t>
      </w:r>
      <w:r>
        <w:rPr>
          <w:bCs/>
          <w:iCs/>
        </w:rPr>
        <w:t>.</w:t>
      </w:r>
    </w:p>
    <w:p w:rsidR="00EB3823" w:rsidRDefault="00000000">
      <w:pPr>
        <w:rPr>
          <w:b/>
        </w:rPr>
      </w:pPr>
      <w:bookmarkStart w:id="23" w:name="_Toc495932312"/>
      <w:bookmarkStart w:id="24" w:name="_Toc495930815"/>
      <w:r>
        <w:rPr>
          <w:b/>
        </w:rPr>
        <w:t xml:space="preserve">Šifra 4 – </w:t>
      </w:r>
      <w:r w:rsidR="003E4A21">
        <w:rPr>
          <w:b/>
        </w:rPr>
        <w:t>131,2</w:t>
      </w:r>
      <w:r>
        <w:rPr>
          <w:b/>
        </w:rPr>
        <w:t xml:space="preserve"> – Ukupni rashodi za nabavu nefinancijske imovine  Javne ustanove Nacionalni park Mljet za 202</w:t>
      </w:r>
      <w:r w:rsidR="003E4A21">
        <w:rPr>
          <w:b/>
        </w:rPr>
        <w:t>5</w:t>
      </w:r>
      <w:r>
        <w:rPr>
          <w:b/>
        </w:rPr>
        <w:t xml:space="preserve">. godinu iznose </w:t>
      </w:r>
      <w:r w:rsidR="003E4A21">
        <w:rPr>
          <w:b/>
        </w:rPr>
        <w:t>431.033,32</w:t>
      </w:r>
      <w:r>
        <w:rPr>
          <w:b/>
        </w:rPr>
        <w:t xml:space="preserve"> eura.</w:t>
      </w:r>
      <w:bookmarkEnd w:id="23"/>
      <w:bookmarkEnd w:id="24"/>
    </w:p>
    <w:p w:rsidR="00EB3823" w:rsidRDefault="00EB3823">
      <w:pPr>
        <w:pStyle w:val="Heading5"/>
        <w:numPr>
          <w:ilvl w:val="0"/>
          <w:numId w:val="0"/>
        </w:numPr>
      </w:pPr>
    </w:p>
    <w:p w:rsidR="00EB3823" w:rsidRDefault="00000000">
      <w:pPr>
        <w:pStyle w:val="Heading2"/>
        <w:numPr>
          <w:ilvl w:val="0"/>
          <w:numId w:val="6"/>
        </w:numPr>
      </w:pPr>
      <w:bookmarkStart w:id="25" w:name="_Toc943800"/>
      <w:r>
        <w:t>Bilješke uz obrazac P – VRIO</w:t>
      </w:r>
      <w:bookmarkEnd w:id="25"/>
    </w:p>
    <w:p w:rsidR="00EB3823" w:rsidRDefault="00EB3823">
      <w:pPr>
        <w:rPr>
          <w:lang w:eastAsia="hr-HR"/>
        </w:rPr>
      </w:pPr>
    </w:p>
    <w:p w:rsidR="00EB3823" w:rsidRDefault="00000000">
      <w:pPr>
        <w:jc w:val="both"/>
        <w:rPr>
          <w:lang w:val="en-US" w:eastAsia="hr-HR"/>
        </w:rPr>
      </w:pPr>
      <w:r>
        <w:rPr>
          <w:lang w:eastAsia="hr-HR"/>
        </w:rPr>
        <w:t xml:space="preserve">U ovom obrascu nema iskazanog povećanja i smanjenja u vrijednosti imovine.  </w:t>
      </w:r>
    </w:p>
    <w:p w:rsidR="00EB3823" w:rsidRDefault="00000000">
      <w:pPr>
        <w:pStyle w:val="Heading2"/>
        <w:numPr>
          <w:ilvl w:val="0"/>
          <w:numId w:val="6"/>
        </w:numPr>
      </w:pPr>
      <w:bookmarkStart w:id="26" w:name="_Toc943801"/>
      <w:r>
        <w:t>Bilješke uz obrazac BILANCA</w:t>
      </w:r>
      <w:bookmarkEnd w:id="26"/>
    </w:p>
    <w:p w:rsidR="00EB3823" w:rsidRDefault="00EB3823">
      <w:pPr>
        <w:rPr>
          <w:lang w:eastAsia="hr-HR"/>
        </w:rPr>
      </w:pPr>
    </w:p>
    <w:p w:rsidR="00EB3823" w:rsidRDefault="00000000">
      <w:pPr>
        <w:rPr>
          <w:b/>
          <w:i/>
          <w:lang w:eastAsia="hr-HR"/>
        </w:rPr>
      </w:pPr>
      <w:r>
        <w:rPr>
          <w:b/>
          <w:i/>
          <w:lang w:eastAsia="hr-HR"/>
        </w:rPr>
        <w:t>Šifra 02 - Neproizvedena dugotrajna imovina</w:t>
      </w:r>
    </w:p>
    <w:p w:rsidR="00EB3823" w:rsidRDefault="00000000">
      <w:pPr>
        <w:jc w:val="both"/>
        <w:rPr>
          <w:lang w:eastAsia="hr-HR"/>
        </w:rPr>
      </w:pPr>
      <w:r>
        <w:rPr>
          <w:lang w:eastAsia="hr-HR"/>
        </w:rPr>
        <w:t>Sadašnja vrijednost proizvedene dugotrajne imovine Ustanove na dan 31.12.202</w:t>
      </w:r>
      <w:r w:rsidR="0016307F">
        <w:rPr>
          <w:lang w:eastAsia="hr-HR"/>
        </w:rPr>
        <w:t>5</w:t>
      </w:r>
      <w:r>
        <w:rPr>
          <w:lang w:eastAsia="hr-HR"/>
        </w:rPr>
        <w:t>. godine iskazana je u vrijednosti od 4.</w:t>
      </w:r>
      <w:r w:rsidR="0016307F">
        <w:rPr>
          <w:lang w:eastAsia="hr-HR"/>
        </w:rPr>
        <w:t>039.819,90</w:t>
      </w:r>
      <w:r>
        <w:rPr>
          <w:lang w:eastAsia="hr-HR"/>
        </w:rPr>
        <w:t xml:space="preserve"> eura, a prikaz </w:t>
      </w:r>
      <w:r>
        <w:rPr>
          <w:lang w:val="en-US" w:eastAsia="hr-HR"/>
        </w:rPr>
        <w:t xml:space="preserve">je </w:t>
      </w:r>
      <w:r>
        <w:rPr>
          <w:lang w:eastAsia="hr-HR"/>
        </w:rPr>
        <w:t>kretanja sredstava proizvedene dugotrajne imovine Ustanove tijekom 202</w:t>
      </w:r>
      <w:r w:rsidR="0016307F">
        <w:rPr>
          <w:lang w:eastAsia="hr-HR"/>
        </w:rPr>
        <w:t>5</w:t>
      </w:r>
      <w:r>
        <w:rPr>
          <w:lang w:eastAsia="hr-HR"/>
        </w:rPr>
        <w:t>. godine.</w:t>
      </w:r>
    </w:p>
    <w:p w:rsidR="00EB3823" w:rsidRDefault="00EB3823">
      <w:pPr>
        <w:rPr>
          <w:b/>
          <w:i/>
          <w:lang w:eastAsia="hr-HR"/>
        </w:rPr>
      </w:pPr>
    </w:p>
    <w:p w:rsidR="00EB3823" w:rsidRDefault="00000000">
      <w:pPr>
        <w:rPr>
          <w:b/>
          <w:i/>
          <w:lang w:eastAsia="hr-HR"/>
        </w:rPr>
      </w:pPr>
      <w:r>
        <w:rPr>
          <w:b/>
          <w:i/>
          <w:lang w:eastAsia="hr-HR"/>
        </w:rPr>
        <w:t>Šifra 06 - Proizvedena kratkotrajna imovina</w:t>
      </w:r>
    </w:p>
    <w:p w:rsidR="00EB3823" w:rsidRDefault="00000000">
      <w:pPr>
        <w:jc w:val="both"/>
        <w:rPr>
          <w:lang w:eastAsia="hr-HR"/>
        </w:rPr>
      </w:pPr>
      <w:r>
        <w:rPr>
          <w:lang w:eastAsia="hr-HR"/>
        </w:rPr>
        <w:t>Iako je Pravilnikom o proračunskom računovodstvu predviđeno da se kratkotrajna imovina priznaje kao rashod odmah u trenutku nabave, budući da se Ustanova bavi djelatnošću trgovine sveukupna kratkotrajna imovina se priznaje u rashode tek u trenutku prodaje</w:t>
      </w:r>
      <w:r>
        <w:rPr>
          <w:lang w:val="en-US" w:eastAsia="hr-HR"/>
        </w:rPr>
        <w:t>.</w:t>
      </w:r>
    </w:p>
    <w:p w:rsidR="00EB3823" w:rsidRDefault="00000000">
      <w:pPr>
        <w:jc w:val="both"/>
        <w:rPr>
          <w:lang w:eastAsia="hr-HR"/>
        </w:rPr>
      </w:pPr>
      <w:r>
        <w:rPr>
          <w:lang w:eastAsia="hr-HR"/>
        </w:rPr>
        <w:lastRenderedPageBreak/>
        <w:t>Stanje proizvedene kratkotrajne imovine Ustanove na dan 31.12.202</w:t>
      </w:r>
      <w:r w:rsidR="0016307F">
        <w:rPr>
          <w:lang w:eastAsia="hr-HR"/>
        </w:rPr>
        <w:t>5</w:t>
      </w:r>
      <w:r>
        <w:rPr>
          <w:lang w:eastAsia="hr-HR"/>
        </w:rPr>
        <w:t>. godine iznosilo je  2</w:t>
      </w:r>
      <w:r w:rsidR="0016307F">
        <w:rPr>
          <w:lang w:eastAsia="hr-HR"/>
        </w:rPr>
        <w:t>9</w:t>
      </w:r>
      <w:r>
        <w:rPr>
          <w:lang w:val="en-US" w:eastAsia="hr-HR"/>
        </w:rPr>
        <w:t>.</w:t>
      </w:r>
      <w:r w:rsidR="0016307F">
        <w:rPr>
          <w:lang w:val="en-US" w:eastAsia="hr-HR"/>
        </w:rPr>
        <w:t>372,40</w:t>
      </w:r>
      <w:r>
        <w:rPr>
          <w:lang w:eastAsia="hr-HR"/>
        </w:rPr>
        <w:t xml:space="preserve"> eura. </w:t>
      </w:r>
    </w:p>
    <w:p w:rsidR="00EB3823" w:rsidRDefault="00000000">
      <w:pPr>
        <w:rPr>
          <w:b/>
          <w:i/>
          <w:lang w:eastAsia="hr-HR"/>
        </w:rPr>
      </w:pPr>
      <w:r>
        <w:rPr>
          <w:b/>
          <w:i/>
          <w:lang w:eastAsia="hr-HR"/>
        </w:rPr>
        <w:t>Šifra 11 - Novac u banci i blagajni</w:t>
      </w:r>
    </w:p>
    <w:p w:rsidR="00EB3823" w:rsidRDefault="00000000">
      <w:pPr>
        <w:jc w:val="both"/>
        <w:rPr>
          <w:b/>
          <w:i/>
          <w:lang w:val="en-US" w:eastAsia="hr-HR"/>
        </w:rPr>
      </w:pPr>
      <w:r>
        <w:rPr>
          <w:lang w:eastAsia="hr-HR"/>
        </w:rPr>
        <w:t>U okviru 1</w:t>
      </w:r>
      <w:r>
        <w:rPr>
          <w:lang w:val="en-US" w:eastAsia="hr-HR"/>
        </w:rPr>
        <w:t>1</w:t>
      </w:r>
      <w:r>
        <w:rPr>
          <w:lang w:eastAsia="hr-HR"/>
        </w:rPr>
        <w:t xml:space="preserve"> iskazana su ukupna sredstva na računu Ustanove u iznosu od </w:t>
      </w:r>
      <w:r w:rsidR="0016307F">
        <w:rPr>
          <w:lang w:val="en-US" w:eastAsia="hr-HR"/>
        </w:rPr>
        <w:t>468.577,07</w:t>
      </w:r>
      <w:r>
        <w:rPr>
          <w:lang w:eastAsia="hr-HR"/>
        </w:rPr>
        <w:t xml:space="preserve"> eura  i </w:t>
      </w:r>
      <w:proofErr w:type="spellStart"/>
      <w:r>
        <w:rPr>
          <w:lang w:val="en-US" w:eastAsia="hr-HR"/>
        </w:rPr>
        <w:t>manja</w:t>
      </w:r>
      <w:proofErr w:type="spellEnd"/>
      <w:r>
        <w:rPr>
          <w:lang w:val="en-US" w:eastAsia="hr-HR"/>
        </w:rPr>
        <w:t xml:space="preserve"> </w:t>
      </w:r>
      <w:r>
        <w:rPr>
          <w:lang w:eastAsia="hr-HR"/>
        </w:rPr>
        <w:t xml:space="preserve"> su u odnosu na prethodnu godinu zbog toga što </w:t>
      </w:r>
      <w:proofErr w:type="spellStart"/>
      <w:r>
        <w:rPr>
          <w:lang w:val="en-US" w:eastAsia="hr-HR"/>
        </w:rPr>
        <w:t>su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povećani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troškovi</w:t>
      </w:r>
      <w:proofErr w:type="spellEnd"/>
      <w:r>
        <w:rPr>
          <w:lang w:val="en-US" w:eastAsia="hr-HR"/>
        </w:rPr>
        <w:t xml:space="preserve"> za </w:t>
      </w:r>
      <w:proofErr w:type="spellStart"/>
      <w:r>
        <w:rPr>
          <w:lang w:val="en-US" w:eastAsia="hr-HR"/>
        </w:rPr>
        <w:t>plaće</w:t>
      </w:r>
      <w:proofErr w:type="spellEnd"/>
      <w:r>
        <w:rPr>
          <w:lang w:val="en-US" w:eastAsia="hr-HR"/>
        </w:rPr>
        <w:t xml:space="preserve">, </w:t>
      </w:r>
      <w:proofErr w:type="spellStart"/>
      <w:r w:rsidR="0016307F">
        <w:rPr>
          <w:lang w:val="en-US" w:eastAsia="hr-HR"/>
        </w:rPr>
        <w:t>usluge</w:t>
      </w:r>
      <w:proofErr w:type="spellEnd"/>
      <w:r w:rsidR="0016307F">
        <w:rPr>
          <w:lang w:val="en-US" w:eastAsia="hr-HR"/>
        </w:rPr>
        <w:t xml:space="preserve"> </w:t>
      </w:r>
      <w:proofErr w:type="spellStart"/>
      <w:r w:rsidR="0016307F">
        <w:rPr>
          <w:lang w:val="en-US" w:eastAsia="hr-HR"/>
        </w:rPr>
        <w:t>održavanja</w:t>
      </w:r>
      <w:proofErr w:type="spellEnd"/>
      <w:r>
        <w:rPr>
          <w:lang w:val="en-US" w:eastAsia="hr-HR"/>
        </w:rPr>
        <w:t>.</w:t>
      </w:r>
    </w:p>
    <w:p w:rsidR="00EB3823" w:rsidRDefault="00000000">
      <w:pPr>
        <w:rPr>
          <w:b/>
          <w:i/>
          <w:lang w:eastAsia="hr-HR"/>
        </w:rPr>
      </w:pPr>
      <w:r>
        <w:rPr>
          <w:b/>
          <w:i/>
          <w:lang w:eastAsia="hr-HR"/>
        </w:rPr>
        <w:t xml:space="preserve">Obveze Ustanove – Šifra 2 - Obveze </w:t>
      </w:r>
    </w:p>
    <w:p w:rsidR="00EB3823" w:rsidRDefault="00000000">
      <w:pPr>
        <w:jc w:val="both"/>
        <w:rPr>
          <w:b/>
          <w:i/>
          <w:lang w:eastAsia="hr-HR"/>
        </w:rPr>
      </w:pPr>
      <w:r>
        <w:rPr>
          <w:lang w:eastAsia="hr-HR"/>
        </w:rPr>
        <w:t>Ukupne obveze za rashode poslovanja na dan 31.12.202</w:t>
      </w:r>
      <w:r w:rsidR="00F9260E">
        <w:rPr>
          <w:lang w:eastAsia="hr-HR"/>
        </w:rPr>
        <w:t>5</w:t>
      </w:r>
      <w:r>
        <w:rPr>
          <w:lang w:eastAsia="hr-HR"/>
        </w:rPr>
        <w:t xml:space="preserve">. iznose </w:t>
      </w:r>
      <w:r w:rsidR="00F9260E">
        <w:rPr>
          <w:lang w:eastAsia="hr-HR"/>
        </w:rPr>
        <w:t>246.377,92</w:t>
      </w:r>
      <w:r>
        <w:rPr>
          <w:lang w:eastAsia="hr-HR"/>
        </w:rPr>
        <w:t xml:space="preserve"> eura,</w:t>
      </w:r>
      <w:r>
        <w:rPr>
          <w:lang w:val="en-US" w:eastAsia="hr-HR"/>
        </w:rPr>
        <w:t xml:space="preserve"> </w:t>
      </w:r>
      <w:r>
        <w:rPr>
          <w:lang w:eastAsia="hr-HR"/>
        </w:rPr>
        <w:t>a odnose se uglavnom na obveze za obveze za zaposlene</w:t>
      </w:r>
      <w:r>
        <w:rPr>
          <w:lang w:val="en-US" w:eastAsia="hr-HR"/>
        </w:rPr>
        <w:t xml:space="preserve">, </w:t>
      </w:r>
      <w:proofErr w:type="spellStart"/>
      <w:r>
        <w:rPr>
          <w:lang w:val="en-US" w:eastAsia="hr-HR"/>
        </w:rPr>
        <w:t>sukladno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zakonskim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propisima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moraju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biti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proknjiženi</w:t>
      </w:r>
      <w:proofErr w:type="spellEnd"/>
      <w:r>
        <w:rPr>
          <w:lang w:val="en-US" w:eastAsia="hr-HR"/>
        </w:rPr>
        <w:t xml:space="preserve"> u 202</w:t>
      </w:r>
      <w:r w:rsidR="00F9260E">
        <w:rPr>
          <w:lang w:val="en-US" w:eastAsia="hr-HR"/>
        </w:rPr>
        <w:t>5</w:t>
      </w:r>
      <w:r>
        <w:rPr>
          <w:lang w:val="en-US" w:eastAsia="hr-HR"/>
        </w:rPr>
        <w:t xml:space="preserve">. </w:t>
      </w:r>
      <w:proofErr w:type="spellStart"/>
      <w:r>
        <w:rPr>
          <w:lang w:val="en-US" w:eastAsia="hr-HR"/>
        </w:rPr>
        <w:t>godinu</w:t>
      </w:r>
      <w:proofErr w:type="spellEnd"/>
      <w:r>
        <w:rPr>
          <w:lang w:val="en-US" w:eastAsia="hr-HR"/>
        </w:rPr>
        <w:t xml:space="preserve">. </w:t>
      </w:r>
      <w:r>
        <w:rPr>
          <w:lang w:eastAsia="hr-HR"/>
        </w:rPr>
        <w:t>Do trenutka sastavljanja godišnjeg financijskog izvještaja su sve obveze bile podmirene.</w:t>
      </w:r>
    </w:p>
    <w:p w:rsidR="00EB3823" w:rsidRDefault="00000000">
      <w:pPr>
        <w:rPr>
          <w:b/>
          <w:i/>
          <w:lang w:eastAsia="hr-HR"/>
        </w:rPr>
      </w:pPr>
      <w:r>
        <w:rPr>
          <w:b/>
          <w:i/>
          <w:lang w:eastAsia="hr-HR"/>
        </w:rPr>
        <w:t>Šifra 9221 / Šifra 9222 - Višak prihoda poslovanja /Manjak prihoda od nefinancijske imovine</w:t>
      </w:r>
    </w:p>
    <w:p w:rsidR="00EB3823" w:rsidRDefault="00000000">
      <w:pPr>
        <w:jc w:val="both"/>
        <w:rPr>
          <w:lang w:eastAsia="hr-HR"/>
        </w:rPr>
      </w:pPr>
      <w:r>
        <w:rPr>
          <w:lang w:eastAsia="hr-HR"/>
        </w:rPr>
        <w:t>Na dan 31.12.202</w:t>
      </w:r>
      <w:r w:rsidR="00F9260E">
        <w:rPr>
          <w:lang w:eastAsia="hr-HR"/>
        </w:rPr>
        <w:t>5</w:t>
      </w:r>
      <w:r>
        <w:rPr>
          <w:lang w:eastAsia="hr-HR"/>
        </w:rPr>
        <w:t xml:space="preserve">. godine Ustanova je ostvarila višak prihoda poslovanja od </w:t>
      </w:r>
      <w:r w:rsidR="00F9260E">
        <w:rPr>
          <w:lang w:eastAsia="hr-HR"/>
        </w:rPr>
        <w:t>430.124,45</w:t>
      </w:r>
      <w:r>
        <w:rPr>
          <w:lang w:eastAsia="hr-HR"/>
        </w:rPr>
        <w:t xml:space="preserve"> eura te manjak prihoda od nefinancijske imovine u iznosu od </w:t>
      </w:r>
      <w:r w:rsidR="00F9260E">
        <w:rPr>
          <w:lang w:eastAsia="hr-HR"/>
        </w:rPr>
        <w:t>119.133,32</w:t>
      </w:r>
      <w:r>
        <w:rPr>
          <w:lang w:eastAsia="hr-HR"/>
        </w:rPr>
        <w:t xml:space="preserve"> eura. </w:t>
      </w:r>
    </w:p>
    <w:p w:rsidR="00EB3823" w:rsidRDefault="00000000">
      <w:pPr>
        <w:rPr>
          <w:b/>
          <w:i/>
          <w:lang w:eastAsia="hr-HR"/>
        </w:rPr>
      </w:pPr>
      <w:r>
        <w:rPr>
          <w:b/>
          <w:i/>
          <w:lang w:eastAsia="hr-HR"/>
        </w:rPr>
        <w:t>Šifra 991 / Šifra 996 - Izvanbilančna aktiva/pasiva</w:t>
      </w:r>
    </w:p>
    <w:p w:rsidR="00CC150F" w:rsidRDefault="00CC150F" w:rsidP="00CC150F">
      <w:r>
        <w:t>Ukupna vrijednost izvanbilančnih stavki Ustanove na dan 31.12.2025. godine iznosi 487.207,45 eura, a odnosi se na 132.391,00 eura  na primljenu bankarsku garanciju za pokriće nedostatka u jamstvenom roku i 256.919,50 eura za tužbu koja je u tijeku, preuzete obveze po ugovorima o nabavi roba, radova i usluga u iznosu od 35.957,09 eura i 61.939,86 eura za robu u komisiji.</w:t>
      </w:r>
    </w:p>
    <w:p w:rsidR="00CC150F" w:rsidRDefault="00CC150F">
      <w:pPr>
        <w:jc w:val="both"/>
        <w:rPr>
          <w:lang w:eastAsia="hr-HR"/>
        </w:rPr>
      </w:pPr>
    </w:p>
    <w:p w:rsidR="00EB3823" w:rsidRDefault="00000000">
      <w:pPr>
        <w:pStyle w:val="Heading2"/>
        <w:numPr>
          <w:ilvl w:val="0"/>
          <w:numId w:val="6"/>
        </w:numPr>
      </w:pPr>
      <w:bookmarkStart w:id="27" w:name="_Toc943802"/>
      <w:r>
        <w:t>Bilješke uz obrazac – OBVEZE</w:t>
      </w:r>
      <w:bookmarkEnd w:id="27"/>
    </w:p>
    <w:p w:rsidR="00EB3823" w:rsidRDefault="00EB3823">
      <w:pPr>
        <w:rPr>
          <w:lang w:eastAsia="hr-HR"/>
        </w:rPr>
      </w:pPr>
    </w:p>
    <w:p w:rsidR="00EB3823" w:rsidRDefault="00000000">
      <w:pPr>
        <w:jc w:val="both"/>
        <w:rPr>
          <w:b/>
          <w:i/>
          <w:lang w:eastAsia="hr-HR"/>
        </w:rPr>
      </w:pPr>
      <w:r>
        <w:rPr>
          <w:lang w:eastAsia="hr-HR"/>
        </w:rPr>
        <w:t xml:space="preserve">U okviru šifre V006 iskazan je ukupan iznos obveza na kraju izvještajnog razdoblja u ukupnom iznosu od </w:t>
      </w:r>
      <w:r w:rsidR="00CC150F">
        <w:rPr>
          <w:lang w:eastAsia="hr-HR"/>
        </w:rPr>
        <w:t>246.377,92</w:t>
      </w:r>
      <w:r>
        <w:rPr>
          <w:lang w:eastAsia="hr-HR"/>
        </w:rPr>
        <w:t xml:space="preserve"> eura.</w:t>
      </w:r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Sukladno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zakonskim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propisima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moraju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biti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proknjiženi</w:t>
      </w:r>
      <w:proofErr w:type="spellEnd"/>
      <w:r>
        <w:rPr>
          <w:lang w:val="en-US" w:eastAsia="hr-HR"/>
        </w:rPr>
        <w:t xml:space="preserve"> u 202</w:t>
      </w:r>
      <w:r w:rsidR="00CC150F">
        <w:rPr>
          <w:lang w:val="en-US" w:eastAsia="hr-HR"/>
        </w:rPr>
        <w:t>5</w:t>
      </w:r>
      <w:r>
        <w:rPr>
          <w:lang w:val="en-US" w:eastAsia="hr-HR"/>
        </w:rPr>
        <w:t xml:space="preserve">. </w:t>
      </w:r>
      <w:proofErr w:type="spellStart"/>
      <w:r>
        <w:rPr>
          <w:lang w:val="en-US" w:eastAsia="hr-HR"/>
        </w:rPr>
        <w:t>godinu</w:t>
      </w:r>
      <w:proofErr w:type="spellEnd"/>
      <w:r>
        <w:rPr>
          <w:lang w:val="en-US" w:eastAsia="hr-HR"/>
        </w:rPr>
        <w:t xml:space="preserve">. </w:t>
      </w:r>
      <w:r>
        <w:rPr>
          <w:lang w:eastAsia="hr-HR"/>
        </w:rPr>
        <w:t>Do trenutka sastavljanja godišnjeg financijskog izvještaja su sve obveze bile podmirene.</w:t>
      </w:r>
    </w:p>
    <w:p w:rsidR="00EB3823" w:rsidRDefault="00EB3823">
      <w:pPr>
        <w:rPr>
          <w:lang w:eastAsia="hr-HR"/>
        </w:rPr>
      </w:pPr>
    </w:p>
    <w:p w:rsidR="00EB3823" w:rsidRDefault="00000000">
      <w:pPr>
        <w:pStyle w:val="Heading2"/>
        <w:numPr>
          <w:ilvl w:val="0"/>
          <w:numId w:val="6"/>
        </w:numPr>
      </w:pPr>
      <w:bookmarkStart w:id="28" w:name="_Toc943803"/>
      <w:r>
        <w:t>Potencijalne obveze po sudskim sporovima na dan 31.12.202</w:t>
      </w:r>
      <w:r w:rsidR="00CC150F">
        <w:t>5</w:t>
      </w:r>
      <w:r>
        <w:t>. godine</w:t>
      </w:r>
      <w:bookmarkEnd w:id="28"/>
    </w:p>
    <w:p w:rsidR="00EB3823" w:rsidRDefault="00EB3823"/>
    <w:tbl>
      <w:tblPr>
        <w:tblW w:w="9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245"/>
        <w:gridCol w:w="1365"/>
        <w:gridCol w:w="1530"/>
        <w:gridCol w:w="1275"/>
        <w:gridCol w:w="1155"/>
        <w:gridCol w:w="1200"/>
        <w:gridCol w:w="855"/>
        <w:gridCol w:w="875"/>
      </w:tblGrid>
      <w:tr w:rsidR="00EB3823">
        <w:trPr>
          <w:trHeight w:val="108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Redni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br/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broj</w:t>
            </w:r>
            <w:proofErr w:type="spellEnd"/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Tužitelj</w:t>
            </w:r>
            <w:proofErr w:type="spellEnd"/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13"/>
                <w:szCs w:val="13"/>
              </w:rPr>
            </w:pPr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OIB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tužitelja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13"/>
                <w:szCs w:val="13"/>
              </w:rPr>
            </w:pPr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Naziv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suda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gram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i 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poslovni</w:t>
            </w:r>
            <w:proofErr w:type="spellEnd"/>
            <w:proofErr w:type="gram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broj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Opis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prirode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spora</w:t>
            </w:r>
            <w:proofErr w:type="spellEnd"/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Procjena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financijskog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učinka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koji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može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proisteći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iz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sudskog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spora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kao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obveza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ili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imovina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vrijednost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predmeta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spora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Vrijednost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sudskog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troška</w:t>
            </w:r>
            <w:proofErr w:type="spellEnd"/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Procijenjeno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vrijeme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odljeva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ili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priljeva</w:t>
            </w:r>
            <w:proofErr w:type="spellEnd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sredstava</w:t>
            </w:r>
            <w:proofErr w:type="spellEnd"/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textAlignment w:val="center"/>
              <w:rPr>
                <w:rFonts w:ascii="Calibri" w:hAnsi="Calibri" w:cs="Calibri"/>
                <w:b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Napomena</w:t>
            </w:r>
            <w:proofErr w:type="spellEnd"/>
          </w:p>
        </w:tc>
      </w:tr>
      <w:tr w:rsidR="00EB3823">
        <w:trPr>
          <w:trHeight w:val="78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1.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 xml:space="preserve">Janja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Mutapčija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 xml:space="preserve"> I dr.                  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EB3823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Općinski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sud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 xml:space="preserve"> Imotski; P.073/2008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Naknada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 xml:space="preserve"> za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smrt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radnika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na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izgradnji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gustijerne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193.775,30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ovisno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broju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ročišta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i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odluci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suda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 xml:space="preserve"> o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priznatom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trošku</w:t>
            </w:r>
            <w:proofErr w:type="spellEnd"/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EB3823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Tuženici: RH i NP Mljet</w:t>
            </w:r>
          </w:p>
        </w:tc>
      </w:tr>
      <w:tr w:rsidR="00EB3823">
        <w:trPr>
          <w:trHeight w:val="78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lastRenderedPageBreak/>
              <w:t>2.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Takala d.o.o.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EB3823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Trgovački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sud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 xml:space="preserve"> Split, P-647/14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 xml:space="preserve">Spor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radi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raskida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 xml:space="preserve"> I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val="en-US" w:eastAsia="zh-CN" w:bidi="ar"/>
              </w:rPr>
              <w:t>isplate</w:t>
            </w:r>
            <w:proofErr w:type="spellEnd"/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63.144,20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textAlignment w:val="center"/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sz w:val="13"/>
                <w:szCs w:val="13"/>
                <w:lang w:eastAsia="zh-CN" w:bidi="ar"/>
              </w:rPr>
              <w:t>63.144,20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2 godine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B3823" w:rsidRDefault="00000000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Takala</w:t>
            </w:r>
          </w:p>
        </w:tc>
      </w:tr>
      <w:tr w:rsidR="00EB3823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B3823" w:rsidRDefault="00EB3823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B3823" w:rsidRDefault="00000000">
            <w:pPr>
              <w:jc w:val="right"/>
              <w:textAlignment w:val="bottom"/>
              <w:rPr>
                <w:rFonts w:ascii="Calibri" w:hAnsi="Calibri" w:cs="Calibri"/>
                <w:b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val="en-US" w:eastAsia="zh-CN" w:bidi="ar"/>
              </w:rPr>
              <w:t>Ukupno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B3823" w:rsidRDefault="00000000">
            <w:pPr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13"/>
                <w:szCs w:val="13"/>
              </w:rPr>
            </w:pPr>
            <w:r>
              <w:rPr>
                <w:rFonts w:ascii="Calibri" w:eastAsia="SimSun" w:hAnsi="Calibri" w:cs="Calibri"/>
                <w:b/>
                <w:color w:val="000000"/>
                <w:sz w:val="13"/>
                <w:szCs w:val="13"/>
                <w:lang w:eastAsia="zh-CN" w:bidi="ar"/>
              </w:rPr>
              <w:t>256.919,50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B3823" w:rsidRDefault="00EB3823">
            <w:pPr>
              <w:rPr>
                <w:rFonts w:ascii="Calibri" w:hAnsi="Calibri" w:cs="Calibri"/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B3823" w:rsidRDefault="00EB3823">
            <w:pPr>
              <w:rPr>
                <w:rFonts w:ascii="Calibri" w:hAnsi="Calibri" w:cs="Calibri"/>
                <w:color w:val="000000"/>
                <w:sz w:val="13"/>
                <w:szCs w:val="13"/>
              </w:rPr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B3823" w:rsidRDefault="00EB3823">
            <w:pPr>
              <w:rPr>
                <w:rFonts w:ascii="Calibri" w:hAnsi="Calibri" w:cs="Calibri"/>
                <w:color w:val="000000"/>
                <w:sz w:val="13"/>
                <w:szCs w:val="13"/>
              </w:rPr>
            </w:pPr>
          </w:p>
        </w:tc>
      </w:tr>
    </w:tbl>
    <w:p w:rsidR="00EB3823" w:rsidRDefault="00EB3823">
      <w:pPr>
        <w:rPr>
          <w:lang w:eastAsia="hr-HR"/>
        </w:rPr>
      </w:pPr>
    </w:p>
    <w:p w:rsidR="00CC150F" w:rsidRPr="00D14961" w:rsidRDefault="00D14961" w:rsidP="00D14961">
      <w:pPr>
        <w:pStyle w:val="Heading2"/>
        <w:numPr>
          <w:ilvl w:val="0"/>
          <w:numId w:val="6"/>
        </w:numPr>
      </w:pPr>
      <w:r>
        <w:t>Preuzete obveze po ugovorima o nabavi roba, radova i usluga</w:t>
      </w:r>
    </w:p>
    <w:p w:rsidR="00D14961" w:rsidRDefault="00D14961" w:rsidP="00D14961">
      <w:pPr>
        <w:pStyle w:val="ListParagraph"/>
        <w:ind w:left="420"/>
      </w:pPr>
    </w:p>
    <w:p w:rsidR="00D14961" w:rsidRPr="00D14961" w:rsidRDefault="00D14961" w:rsidP="00057317">
      <w:pPr>
        <w:pStyle w:val="ListParagraph"/>
        <w:ind w:left="420"/>
        <w:rPr>
          <w:rFonts w:asciiTheme="minorHAnsi" w:eastAsiaTheme="minorHAnsi" w:hAnsiTheme="minorHAnsi" w:cstheme="minorBidi"/>
          <w:b w:val="0"/>
          <w:sz w:val="22"/>
        </w:rPr>
      </w:pPr>
      <w:r w:rsidRPr="00D14961">
        <w:rPr>
          <w:rFonts w:asciiTheme="minorHAnsi" w:eastAsiaTheme="minorHAnsi" w:hAnsiTheme="minorHAnsi" w:cstheme="minorBidi"/>
          <w:b w:val="0"/>
          <w:sz w:val="22"/>
        </w:rPr>
        <w:t xml:space="preserve">Prema </w:t>
      </w:r>
      <w:r>
        <w:rPr>
          <w:rFonts w:asciiTheme="minorHAnsi" w:eastAsiaTheme="minorHAnsi" w:hAnsiTheme="minorHAnsi" w:cstheme="minorBidi"/>
          <w:b w:val="0"/>
          <w:sz w:val="22"/>
        </w:rPr>
        <w:t>Pravilniku o proračunskom računovodstvu</w:t>
      </w:r>
      <w:r w:rsidR="00057317">
        <w:rPr>
          <w:rFonts w:asciiTheme="minorHAnsi" w:eastAsiaTheme="minorHAnsi" w:hAnsiTheme="minorHAnsi" w:cstheme="minorBidi"/>
          <w:b w:val="0"/>
          <w:sz w:val="22"/>
        </w:rPr>
        <w:t xml:space="preserve"> Javna ustanova „Nacionalni park Mljet“ vodi  izvanbilančnu evidenciju </w:t>
      </w:r>
      <w:r w:rsidR="00057317" w:rsidRPr="00057317">
        <w:rPr>
          <w:rFonts w:asciiTheme="minorHAnsi" w:eastAsiaTheme="minorHAnsi" w:hAnsiTheme="minorHAnsi" w:cstheme="minorBidi"/>
          <w:b w:val="0"/>
          <w:sz w:val="22"/>
        </w:rPr>
        <w:t>u visini ukupne vrijednosti potpisanog ugovora,</w:t>
      </w:r>
      <w:r w:rsidR="00057317">
        <w:rPr>
          <w:rFonts w:asciiTheme="minorHAnsi" w:eastAsiaTheme="minorHAnsi" w:hAnsiTheme="minorHAnsi" w:cstheme="minorBidi"/>
          <w:b w:val="0"/>
          <w:sz w:val="22"/>
        </w:rPr>
        <w:t xml:space="preserve"> </w:t>
      </w:r>
      <w:r w:rsidR="00057317" w:rsidRPr="00057317">
        <w:rPr>
          <w:rFonts w:asciiTheme="minorHAnsi" w:eastAsiaTheme="minorHAnsi" w:hAnsiTheme="minorHAnsi" w:cstheme="minorBidi"/>
          <w:b w:val="0"/>
          <w:sz w:val="22"/>
        </w:rPr>
        <w:t>uključujući i naknadna uvećanja ili umanjenja vrijednosti ugovora</w:t>
      </w:r>
      <w:r w:rsidR="00057317">
        <w:rPr>
          <w:rFonts w:asciiTheme="minorHAnsi" w:eastAsiaTheme="minorHAnsi" w:hAnsiTheme="minorHAnsi" w:cstheme="minorBidi"/>
          <w:b w:val="0"/>
          <w:sz w:val="22"/>
        </w:rPr>
        <w:t xml:space="preserve"> </w:t>
      </w:r>
      <w:r w:rsidR="00057317" w:rsidRPr="00057317">
        <w:rPr>
          <w:rFonts w:asciiTheme="minorHAnsi" w:eastAsiaTheme="minorHAnsi" w:hAnsiTheme="minorHAnsi" w:cstheme="minorBidi"/>
          <w:b w:val="0"/>
          <w:sz w:val="22"/>
        </w:rPr>
        <w:t>sukladno potpisanim dodacima ugovoru</w:t>
      </w:r>
      <w:r w:rsidR="00057317">
        <w:rPr>
          <w:rFonts w:asciiTheme="minorHAnsi" w:eastAsiaTheme="minorHAnsi" w:hAnsiTheme="minorHAnsi" w:cstheme="minorBidi"/>
          <w:b w:val="0"/>
          <w:sz w:val="22"/>
        </w:rPr>
        <w:t>. Z</w:t>
      </w:r>
      <w:r w:rsidR="00057317" w:rsidRPr="00057317">
        <w:rPr>
          <w:rFonts w:asciiTheme="minorHAnsi" w:eastAsiaTheme="minorHAnsi" w:hAnsiTheme="minorHAnsi" w:cstheme="minorBidi"/>
          <w:b w:val="0"/>
          <w:sz w:val="22"/>
        </w:rPr>
        <w:t>atvara se po zaprimljenim računima za nabavljenu robu, obavljene radove i usluge u visini iznosa</w:t>
      </w:r>
      <w:r w:rsidR="00057317">
        <w:rPr>
          <w:rFonts w:asciiTheme="minorHAnsi" w:eastAsiaTheme="minorHAnsi" w:hAnsiTheme="minorHAnsi" w:cstheme="minorBidi"/>
          <w:b w:val="0"/>
          <w:sz w:val="22"/>
        </w:rPr>
        <w:t xml:space="preserve"> </w:t>
      </w:r>
      <w:r w:rsidR="00057317" w:rsidRPr="00057317">
        <w:rPr>
          <w:rFonts w:asciiTheme="minorHAnsi" w:eastAsiaTheme="minorHAnsi" w:hAnsiTheme="minorHAnsi" w:cstheme="minorBidi"/>
          <w:b w:val="0"/>
          <w:sz w:val="22"/>
        </w:rPr>
        <w:t>računa</w:t>
      </w:r>
      <w:r w:rsidR="00ED2D5C">
        <w:rPr>
          <w:rFonts w:asciiTheme="minorHAnsi" w:eastAsiaTheme="minorHAnsi" w:hAnsiTheme="minorHAnsi" w:cstheme="minorBidi"/>
          <w:b w:val="0"/>
          <w:sz w:val="22"/>
        </w:rPr>
        <w:t>,</w:t>
      </w:r>
      <w:r w:rsidR="00057317" w:rsidRPr="00057317">
        <w:rPr>
          <w:rFonts w:asciiTheme="minorHAnsi" w:eastAsiaTheme="minorHAnsi" w:hAnsiTheme="minorHAnsi" w:cstheme="minorBidi"/>
          <w:b w:val="0"/>
          <w:sz w:val="22"/>
        </w:rPr>
        <w:t xml:space="preserve"> te u slučaju raskida ugovora</w:t>
      </w:r>
      <w:r w:rsidR="00057317">
        <w:rPr>
          <w:rFonts w:asciiTheme="minorHAnsi" w:eastAsiaTheme="minorHAnsi" w:hAnsiTheme="minorHAnsi" w:cstheme="minorBidi"/>
          <w:b w:val="0"/>
          <w:sz w:val="22"/>
        </w:rPr>
        <w:t>.</w:t>
      </w:r>
    </w:p>
    <w:p w:rsidR="00D14961" w:rsidRPr="00D14961" w:rsidRDefault="00D14961" w:rsidP="00D14961">
      <w:pPr>
        <w:pStyle w:val="ListParagraph"/>
        <w:ind w:left="420"/>
        <w:rPr>
          <w:rFonts w:ascii="Arial" w:hAnsi="Arial" w:cs="Arial"/>
          <w:lang w:val="de-DE"/>
        </w:rPr>
      </w:pPr>
    </w:p>
    <w:p w:rsidR="00D14961" w:rsidRPr="00B24D37" w:rsidRDefault="00D14961" w:rsidP="00D14961">
      <w:pPr>
        <w:pStyle w:val="ListParagraph"/>
        <w:numPr>
          <w:ilvl w:val="0"/>
          <w:numId w:val="6"/>
        </w:numPr>
        <w:rPr>
          <w:bCs/>
          <w:i/>
          <w:iCs/>
          <w:sz w:val="28"/>
          <w:szCs w:val="28"/>
        </w:rPr>
      </w:pPr>
      <w:r w:rsidRPr="00B24D37">
        <w:rPr>
          <w:bCs/>
          <w:i/>
          <w:iCs/>
          <w:sz w:val="28"/>
          <w:szCs w:val="28"/>
        </w:rPr>
        <w:t>EU izvještaj</w:t>
      </w:r>
    </w:p>
    <w:p w:rsidR="00057317" w:rsidRDefault="00057317" w:rsidP="00057317">
      <w:pPr>
        <w:pStyle w:val="ListParagraph"/>
        <w:ind w:left="420"/>
      </w:pPr>
    </w:p>
    <w:p w:rsidR="00057317" w:rsidRDefault="00057317" w:rsidP="00057317">
      <w:pPr>
        <w:pStyle w:val="ListParagraph"/>
        <w:ind w:left="420"/>
        <w:rPr>
          <w:rFonts w:asciiTheme="minorHAnsi" w:eastAsiaTheme="minorHAnsi" w:hAnsiTheme="minorHAnsi" w:cstheme="minorBidi"/>
          <w:b w:val="0"/>
          <w:sz w:val="22"/>
        </w:rPr>
      </w:pPr>
      <w:r w:rsidRPr="00057317">
        <w:rPr>
          <w:rFonts w:asciiTheme="minorHAnsi" w:eastAsiaTheme="minorHAnsi" w:hAnsiTheme="minorHAnsi" w:cstheme="minorBidi"/>
          <w:b w:val="0"/>
          <w:sz w:val="22"/>
        </w:rPr>
        <w:t>U ovom obrascu nema iskazanog p</w:t>
      </w:r>
      <w:r w:rsidR="00AD6F12">
        <w:rPr>
          <w:rFonts w:asciiTheme="minorHAnsi" w:eastAsiaTheme="minorHAnsi" w:hAnsiTheme="minorHAnsi" w:cstheme="minorBidi"/>
          <w:b w:val="0"/>
          <w:sz w:val="22"/>
        </w:rPr>
        <w:t>r</w:t>
      </w:r>
      <w:r w:rsidR="00B24D37">
        <w:rPr>
          <w:rFonts w:asciiTheme="minorHAnsi" w:eastAsiaTheme="minorHAnsi" w:hAnsiTheme="minorHAnsi" w:cstheme="minorBidi"/>
          <w:b w:val="0"/>
          <w:sz w:val="22"/>
        </w:rPr>
        <w:t>ojekata ostvarenih u 2025. godini.</w:t>
      </w:r>
    </w:p>
    <w:p w:rsidR="00B24D37" w:rsidRPr="00057317" w:rsidRDefault="00B24D37" w:rsidP="00057317">
      <w:pPr>
        <w:pStyle w:val="ListParagraph"/>
        <w:ind w:left="420"/>
        <w:rPr>
          <w:rFonts w:asciiTheme="minorHAnsi" w:eastAsiaTheme="minorHAnsi" w:hAnsiTheme="minorHAnsi" w:cstheme="minorBidi"/>
          <w:b w:val="0"/>
          <w:sz w:val="22"/>
        </w:rPr>
      </w:pPr>
    </w:p>
    <w:p w:rsidR="00EB3823" w:rsidRDefault="0000000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U Goveđarima, </w:t>
      </w:r>
      <w:r w:rsidR="00CC150F">
        <w:rPr>
          <w:rFonts w:ascii="Arial" w:hAnsi="Arial" w:cs="Arial"/>
          <w:lang w:val="de-DE"/>
        </w:rPr>
        <w:t>02</w:t>
      </w:r>
      <w:r>
        <w:rPr>
          <w:rFonts w:ascii="Arial" w:hAnsi="Arial" w:cs="Arial"/>
          <w:lang w:val="de-DE"/>
        </w:rPr>
        <w:t>.</w:t>
      </w:r>
      <w:r>
        <w:rPr>
          <w:rFonts w:ascii="Arial" w:hAnsi="Arial" w:cs="Arial"/>
        </w:rPr>
        <w:t xml:space="preserve"> </w:t>
      </w:r>
      <w:r w:rsidR="00CC150F">
        <w:rPr>
          <w:rFonts w:ascii="Arial" w:hAnsi="Arial" w:cs="Arial"/>
        </w:rPr>
        <w:t>veljače</w:t>
      </w:r>
      <w:r>
        <w:rPr>
          <w:rFonts w:ascii="Arial" w:hAnsi="Arial" w:cs="Arial"/>
          <w:lang w:val="de-DE"/>
        </w:rPr>
        <w:t xml:space="preserve"> 202</w:t>
      </w:r>
      <w:r w:rsidR="00CC150F">
        <w:rPr>
          <w:rFonts w:ascii="Arial" w:hAnsi="Arial" w:cs="Arial"/>
          <w:lang w:val="de-DE"/>
        </w:rPr>
        <w:t>6</w:t>
      </w:r>
      <w:r>
        <w:rPr>
          <w:rFonts w:ascii="Arial" w:hAnsi="Arial" w:cs="Arial"/>
          <w:lang w:val="de-DE"/>
        </w:rPr>
        <w:t>.</w:t>
      </w:r>
    </w:p>
    <w:p w:rsidR="00EB3823" w:rsidRDefault="0000000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</w:p>
    <w:p w:rsidR="00EB3823" w:rsidRDefault="00000000">
      <w:r>
        <w:rPr>
          <w:rFonts w:ascii="Arial" w:hAnsi="Arial" w:cs="Arial"/>
          <w:lang w:val="de-DE"/>
        </w:rPr>
        <w:t>Ravnatelj:</w:t>
      </w:r>
    </w:p>
    <w:p w:rsidR="00EB3823" w:rsidRDefault="0000000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Ivan Sršen, dipl.ing</w:t>
      </w:r>
    </w:p>
    <w:p w:rsidR="00EB3823" w:rsidRDefault="00EB3823">
      <w:pPr>
        <w:rPr>
          <w:lang w:eastAsia="hr-HR"/>
        </w:rPr>
      </w:pPr>
    </w:p>
    <w:sectPr w:rsidR="00EB38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C5E" w:rsidRDefault="00E54C5E">
      <w:pPr>
        <w:spacing w:line="240" w:lineRule="auto"/>
      </w:pPr>
      <w:r>
        <w:separator/>
      </w:r>
    </w:p>
  </w:endnote>
  <w:endnote w:type="continuationSeparator" w:id="0">
    <w:p w:rsidR="00E54C5E" w:rsidRDefault="00E54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125233"/>
    </w:sdtPr>
    <w:sdtContent>
      <w:p w:rsidR="00EB3823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 w:rsidR="00EB3823" w:rsidRDefault="00EB3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823" w:rsidRDefault="00000000">
    <w:pPr>
      <w:pStyle w:val="Footer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C5E" w:rsidRDefault="00E54C5E">
      <w:pPr>
        <w:spacing w:after="0"/>
      </w:pPr>
      <w:r>
        <w:separator/>
      </w:r>
    </w:p>
  </w:footnote>
  <w:footnote w:type="continuationSeparator" w:id="0">
    <w:p w:rsidR="00E54C5E" w:rsidRDefault="00E54C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3314C"/>
    <w:multiLevelType w:val="multilevel"/>
    <w:tmpl w:val="19F3314C"/>
    <w:lvl w:ilvl="0">
      <w:start w:val="1"/>
      <w:numFmt w:val="decimal"/>
      <w:pStyle w:val="Heading2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38" w:hanging="720"/>
      </w:pPr>
      <w:rPr>
        <w:rFonts w:hint="default"/>
      </w:rPr>
    </w:lvl>
    <w:lvl w:ilvl="2">
      <w:start w:val="1"/>
      <w:numFmt w:val="decimal"/>
      <w:pStyle w:val="Heading5"/>
      <w:isLgl/>
      <w:lvlText w:val="%1.%2.%3."/>
      <w:lvlJc w:val="left"/>
      <w:pPr>
        <w:ind w:left="4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2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27" w:hanging="1800"/>
      </w:pPr>
      <w:rPr>
        <w:rFonts w:hint="default"/>
      </w:rPr>
    </w:lvl>
  </w:abstractNum>
  <w:abstractNum w:abstractNumId="1" w15:restartNumberingAfterBreak="0">
    <w:nsid w:val="1FBB70F0"/>
    <w:multiLevelType w:val="multilevel"/>
    <w:tmpl w:val="1FBB7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3"/>
      <w:isLgl/>
      <w:lvlText w:val="%1.%2."/>
      <w:lvlJc w:val="left"/>
      <w:pPr>
        <w:ind w:left="1845" w:hanging="720"/>
      </w:pPr>
      <w:rPr>
        <w:rFonts w:ascii="Times New Roman" w:hAnsi="Times New Roman" w:hint="default"/>
        <w:i w:val="0"/>
        <w:color w:val="008080"/>
        <w:sz w:val="32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ascii="Times New Roman" w:hAnsi="Times New Roman" w:hint="default"/>
        <w:i w:val="0"/>
        <w:color w:val="008080"/>
        <w:sz w:val="32"/>
      </w:rPr>
    </w:lvl>
    <w:lvl w:ilvl="3">
      <w:start w:val="1"/>
      <w:numFmt w:val="decimal"/>
      <w:isLgl/>
      <w:lvlText w:val="%1.%2.%3.%4."/>
      <w:lvlJc w:val="left"/>
      <w:pPr>
        <w:ind w:left="3735" w:hanging="1080"/>
      </w:pPr>
      <w:rPr>
        <w:rFonts w:ascii="Times New Roman" w:hAnsi="Times New Roman" w:hint="default"/>
        <w:i w:val="0"/>
        <w:color w:val="008080"/>
        <w:sz w:val="32"/>
      </w:rPr>
    </w:lvl>
    <w:lvl w:ilvl="4">
      <w:start w:val="1"/>
      <w:numFmt w:val="decimal"/>
      <w:isLgl/>
      <w:lvlText w:val="%1.%2.%3.%4.%5."/>
      <w:lvlJc w:val="left"/>
      <w:pPr>
        <w:ind w:left="4860" w:hanging="1440"/>
      </w:pPr>
      <w:rPr>
        <w:rFonts w:ascii="Times New Roman" w:hAnsi="Times New Roman" w:hint="default"/>
        <w:i w:val="0"/>
        <w:color w:val="008080"/>
        <w:sz w:val="32"/>
      </w:rPr>
    </w:lvl>
    <w:lvl w:ilvl="5">
      <w:start w:val="1"/>
      <w:numFmt w:val="decimal"/>
      <w:isLgl/>
      <w:lvlText w:val="%1.%2.%3.%4.%5.%6."/>
      <w:lvlJc w:val="left"/>
      <w:pPr>
        <w:ind w:left="5625" w:hanging="1440"/>
      </w:pPr>
      <w:rPr>
        <w:rFonts w:ascii="Times New Roman" w:hAnsi="Times New Roman" w:hint="default"/>
        <w:i w:val="0"/>
        <w:color w:val="008080"/>
        <w:sz w:val="32"/>
      </w:rPr>
    </w:lvl>
    <w:lvl w:ilvl="6">
      <w:start w:val="1"/>
      <w:numFmt w:val="decimal"/>
      <w:isLgl/>
      <w:lvlText w:val="%1.%2.%3.%4.%5.%6.%7."/>
      <w:lvlJc w:val="left"/>
      <w:pPr>
        <w:ind w:left="6750" w:hanging="1800"/>
      </w:pPr>
      <w:rPr>
        <w:rFonts w:ascii="Times New Roman" w:hAnsi="Times New Roman" w:hint="default"/>
        <w:i w:val="0"/>
        <w:color w:val="008080"/>
        <w:sz w:val="32"/>
      </w:rPr>
    </w:lvl>
    <w:lvl w:ilvl="7">
      <w:start w:val="1"/>
      <w:numFmt w:val="decimal"/>
      <w:isLgl/>
      <w:lvlText w:val="%1.%2.%3.%4.%5.%6.%7.%8."/>
      <w:lvlJc w:val="left"/>
      <w:pPr>
        <w:ind w:left="7875" w:hanging="2160"/>
      </w:pPr>
      <w:rPr>
        <w:rFonts w:ascii="Times New Roman" w:hAnsi="Times New Roman" w:hint="default"/>
        <w:i w:val="0"/>
        <w:color w:val="008080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hint="default"/>
        <w:i w:val="0"/>
        <w:color w:val="008080"/>
        <w:sz w:val="32"/>
      </w:rPr>
    </w:lvl>
  </w:abstractNum>
  <w:abstractNum w:abstractNumId="2" w15:restartNumberingAfterBreak="0">
    <w:nsid w:val="22D86F17"/>
    <w:multiLevelType w:val="multilevel"/>
    <w:tmpl w:val="22D86F17"/>
    <w:lvl w:ilvl="0">
      <w:start w:val="1"/>
      <w:numFmt w:val="upperRoman"/>
      <w:pStyle w:val="Heading1"/>
      <w:lvlText w:val="%1.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 w15:restartNumberingAfterBreak="0">
    <w:nsid w:val="24102293"/>
    <w:multiLevelType w:val="multilevel"/>
    <w:tmpl w:val="2410229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C1799"/>
    <w:multiLevelType w:val="multilevel"/>
    <w:tmpl w:val="289C1799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D1141"/>
    <w:multiLevelType w:val="multilevel"/>
    <w:tmpl w:val="752D1141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 w16cid:durableId="2030178952">
    <w:abstractNumId w:val="2"/>
  </w:num>
  <w:num w:numId="2" w16cid:durableId="1087112198">
    <w:abstractNumId w:val="0"/>
  </w:num>
  <w:num w:numId="3" w16cid:durableId="186871671">
    <w:abstractNumId w:val="1"/>
  </w:num>
  <w:num w:numId="4" w16cid:durableId="1103888811">
    <w:abstractNumId w:val="3"/>
  </w:num>
  <w:num w:numId="5" w16cid:durableId="1492142175">
    <w:abstractNumId w:val="4"/>
  </w:num>
  <w:num w:numId="6" w16cid:durableId="726496651">
    <w:abstractNumId w:val="5"/>
  </w:num>
  <w:num w:numId="7" w16cid:durableId="94780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28"/>
    <w:rsid w:val="000047AA"/>
    <w:rsid w:val="00005932"/>
    <w:rsid w:val="000077AD"/>
    <w:rsid w:val="00015118"/>
    <w:rsid w:val="0001548F"/>
    <w:rsid w:val="00022A76"/>
    <w:rsid w:val="00022FA4"/>
    <w:rsid w:val="00023EA1"/>
    <w:rsid w:val="000242E3"/>
    <w:rsid w:val="00024F87"/>
    <w:rsid w:val="00031077"/>
    <w:rsid w:val="000316B3"/>
    <w:rsid w:val="000353BF"/>
    <w:rsid w:val="00037B0D"/>
    <w:rsid w:val="0004137C"/>
    <w:rsid w:val="000418A7"/>
    <w:rsid w:val="000439F0"/>
    <w:rsid w:val="00044712"/>
    <w:rsid w:val="0004677C"/>
    <w:rsid w:val="00046B05"/>
    <w:rsid w:val="00047B00"/>
    <w:rsid w:val="00047DC0"/>
    <w:rsid w:val="000568EF"/>
    <w:rsid w:val="00057317"/>
    <w:rsid w:val="0006094C"/>
    <w:rsid w:val="00064DC6"/>
    <w:rsid w:val="0006618C"/>
    <w:rsid w:val="00067CB4"/>
    <w:rsid w:val="00072593"/>
    <w:rsid w:val="00073E4B"/>
    <w:rsid w:val="00074B9F"/>
    <w:rsid w:val="000821BB"/>
    <w:rsid w:val="00082351"/>
    <w:rsid w:val="00083859"/>
    <w:rsid w:val="000869FC"/>
    <w:rsid w:val="000900D4"/>
    <w:rsid w:val="00090FD2"/>
    <w:rsid w:val="000A3C2F"/>
    <w:rsid w:val="000A3F64"/>
    <w:rsid w:val="000A401C"/>
    <w:rsid w:val="000C0FBE"/>
    <w:rsid w:val="000C1CB7"/>
    <w:rsid w:val="000C63E6"/>
    <w:rsid w:val="000C663D"/>
    <w:rsid w:val="000C67D0"/>
    <w:rsid w:val="000C7A37"/>
    <w:rsid w:val="000D3E33"/>
    <w:rsid w:val="000D7FF9"/>
    <w:rsid w:val="000E1E54"/>
    <w:rsid w:val="000E59A4"/>
    <w:rsid w:val="001001EB"/>
    <w:rsid w:val="00107055"/>
    <w:rsid w:val="0011006D"/>
    <w:rsid w:val="0012081B"/>
    <w:rsid w:val="00122D69"/>
    <w:rsid w:val="00123C07"/>
    <w:rsid w:val="001256B4"/>
    <w:rsid w:val="00132E41"/>
    <w:rsid w:val="00133D86"/>
    <w:rsid w:val="0013682A"/>
    <w:rsid w:val="00136E99"/>
    <w:rsid w:val="00141973"/>
    <w:rsid w:val="00142987"/>
    <w:rsid w:val="00146DA5"/>
    <w:rsid w:val="00152868"/>
    <w:rsid w:val="00153FA3"/>
    <w:rsid w:val="00155582"/>
    <w:rsid w:val="00156330"/>
    <w:rsid w:val="00161516"/>
    <w:rsid w:val="0016307F"/>
    <w:rsid w:val="0016352F"/>
    <w:rsid w:val="001635D6"/>
    <w:rsid w:val="00165F5C"/>
    <w:rsid w:val="00181892"/>
    <w:rsid w:val="00186E6D"/>
    <w:rsid w:val="001874EC"/>
    <w:rsid w:val="001950C9"/>
    <w:rsid w:val="00195822"/>
    <w:rsid w:val="00195C07"/>
    <w:rsid w:val="001A0484"/>
    <w:rsid w:val="001A5515"/>
    <w:rsid w:val="001A6F7B"/>
    <w:rsid w:val="001B47BE"/>
    <w:rsid w:val="001B5767"/>
    <w:rsid w:val="001B5928"/>
    <w:rsid w:val="001B6341"/>
    <w:rsid w:val="001C11F7"/>
    <w:rsid w:val="001C3525"/>
    <w:rsid w:val="001C4F3E"/>
    <w:rsid w:val="001C59B0"/>
    <w:rsid w:val="001C5CAE"/>
    <w:rsid w:val="001C75E6"/>
    <w:rsid w:val="001D177B"/>
    <w:rsid w:val="001D5592"/>
    <w:rsid w:val="001E32D6"/>
    <w:rsid w:val="001E48E4"/>
    <w:rsid w:val="001E5870"/>
    <w:rsid w:val="001E6328"/>
    <w:rsid w:val="001F1063"/>
    <w:rsid w:val="001F645A"/>
    <w:rsid w:val="0020597D"/>
    <w:rsid w:val="002107A1"/>
    <w:rsid w:val="00212D48"/>
    <w:rsid w:val="00215FF2"/>
    <w:rsid w:val="0022129D"/>
    <w:rsid w:val="002308BF"/>
    <w:rsid w:val="00235E46"/>
    <w:rsid w:val="00236DC8"/>
    <w:rsid w:val="00240215"/>
    <w:rsid w:val="002446E9"/>
    <w:rsid w:val="00246D36"/>
    <w:rsid w:val="00254EB8"/>
    <w:rsid w:val="00262C5B"/>
    <w:rsid w:val="002633B7"/>
    <w:rsid w:val="0027073B"/>
    <w:rsid w:val="0027220A"/>
    <w:rsid w:val="002722A0"/>
    <w:rsid w:val="002723E3"/>
    <w:rsid w:val="002740DF"/>
    <w:rsid w:val="00283E3E"/>
    <w:rsid w:val="00286CF1"/>
    <w:rsid w:val="00290A29"/>
    <w:rsid w:val="00294300"/>
    <w:rsid w:val="0029468B"/>
    <w:rsid w:val="00294A26"/>
    <w:rsid w:val="00294ACA"/>
    <w:rsid w:val="002A4AF1"/>
    <w:rsid w:val="002B1907"/>
    <w:rsid w:val="002B2E9F"/>
    <w:rsid w:val="002B6290"/>
    <w:rsid w:val="002C1405"/>
    <w:rsid w:val="002C2452"/>
    <w:rsid w:val="002C2CB6"/>
    <w:rsid w:val="002D12DC"/>
    <w:rsid w:val="002D27F7"/>
    <w:rsid w:val="002D4033"/>
    <w:rsid w:val="002D753E"/>
    <w:rsid w:val="002E4370"/>
    <w:rsid w:val="002E6B65"/>
    <w:rsid w:val="002E6E95"/>
    <w:rsid w:val="002E7671"/>
    <w:rsid w:val="002F14C6"/>
    <w:rsid w:val="002F4EA6"/>
    <w:rsid w:val="002F620F"/>
    <w:rsid w:val="0030034B"/>
    <w:rsid w:val="00300A38"/>
    <w:rsid w:val="00300A74"/>
    <w:rsid w:val="00303F49"/>
    <w:rsid w:val="00305DB9"/>
    <w:rsid w:val="00312539"/>
    <w:rsid w:val="00313321"/>
    <w:rsid w:val="00314F9E"/>
    <w:rsid w:val="00320B30"/>
    <w:rsid w:val="00321C3D"/>
    <w:rsid w:val="00322D2D"/>
    <w:rsid w:val="00333432"/>
    <w:rsid w:val="003461A6"/>
    <w:rsid w:val="003575A6"/>
    <w:rsid w:val="003601BE"/>
    <w:rsid w:val="00363C4B"/>
    <w:rsid w:val="00365453"/>
    <w:rsid w:val="00366756"/>
    <w:rsid w:val="00367037"/>
    <w:rsid w:val="00367FEB"/>
    <w:rsid w:val="00367FEE"/>
    <w:rsid w:val="00377EC8"/>
    <w:rsid w:val="0039053E"/>
    <w:rsid w:val="003A43B8"/>
    <w:rsid w:val="003A7DB4"/>
    <w:rsid w:val="003B05AB"/>
    <w:rsid w:val="003B6C1E"/>
    <w:rsid w:val="003B7415"/>
    <w:rsid w:val="003C1A89"/>
    <w:rsid w:val="003D5616"/>
    <w:rsid w:val="003D7EFB"/>
    <w:rsid w:val="003E00E4"/>
    <w:rsid w:val="003E0351"/>
    <w:rsid w:val="003E3907"/>
    <w:rsid w:val="003E4A21"/>
    <w:rsid w:val="003E60E0"/>
    <w:rsid w:val="003E741F"/>
    <w:rsid w:val="003F4272"/>
    <w:rsid w:val="003F4B1E"/>
    <w:rsid w:val="003F6196"/>
    <w:rsid w:val="00402452"/>
    <w:rsid w:val="0040439E"/>
    <w:rsid w:val="00405BDA"/>
    <w:rsid w:val="0040699D"/>
    <w:rsid w:val="004113DA"/>
    <w:rsid w:val="00412139"/>
    <w:rsid w:val="00415B04"/>
    <w:rsid w:val="00416D53"/>
    <w:rsid w:val="00423D69"/>
    <w:rsid w:val="0042443C"/>
    <w:rsid w:val="0042456F"/>
    <w:rsid w:val="004257B6"/>
    <w:rsid w:val="00426422"/>
    <w:rsid w:val="00431DA0"/>
    <w:rsid w:val="00434917"/>
    <w:rsid w:val="00434D76"/>
    <w:rsid w:val="00435363"/>
    <w:rsid w:val="00435BF5"/>
    <w:rsid w:val="00436351"/>
    <w:rsid w:val="00441E7D"/>
    <w:rsid w:val="00442130"/>
    <w:rsid w:val="00447D22"/>
    <w:rsid w:val="0045220E"/>
    <w:rsid w:val="00454004"/>
    <w:rsid w:val="0045577A"/>
    <w:rsid w:val="00455C6E"/>
    <w:rsid w:val="004607E1"/>
    <w:rsid w:val="00460DE1"/>
    <w:rsid w:val="00465964"/>
    <w:rsid w:val="00466D02"/>
    <w:rsid w:val="00477C92"/>
    <w:rsid w:val="004801C2"/>
    <w:rsid w:val="00482685"/>
    <w:rsid w:val="00482C18"/>
    <w:rsid w:val="00491D58"/>
    <w:rsid w:val="00492058"/>
    <w:rsid w:val="004946C8"/>
    <w:rsid w:val="00497DA5"/>
    <w:rsid w:val="004A12B0"/>
    <w:rsid w:val="004A30B4"/>
    <w:rsid w:val="004A5F2B"/>
    <w:rsid w:val="004B3BC3"/>
    <w:rsid w:val="004B4474"/>
    <w:rsid w:val="004B5033"/>
    <w:rsid w:val="004B6B31"/>
    <w:rsid w:val="004B76D6"/>
    <w:rsid w:val="004C0E13"/>
    <w:rsid w:val="004C11BE"/>
    <w:rsid w:val="004C2878"/>
    <w:rsid w:val="004C29F2"/>
    <w:rsid w:val="004D0A72"/>
    <w:rsid w:val="004D0E1A"/>
    <w:rsid w:val="004D5FF8"/>
    <w:rsid w:val="004D6D2F"/>
    <w:rsid w:val="004D737D"/>
    <w:rsid w:val="004E1946"/>
    <w:rsid w:val="004E3AB8"/>
    <w:rsid w:val="004E795C"/>
    <w:rsid w:val="004F3A6D"/>
    <w:rsid w:val="004F6033"/>
    <w:rsid w:val="00500D16"/>
    <w:rsid w:val="00506A1D"/>
    <w:rsid w:val="00507469"/>
    <w:rsid w:val="005074A5"/>
    <w:rsid w:val="00514702"/>
    <w:rsid w:val="00520B5C"/>
    <w:rsid w:val="00521C53"/>
    <w:rsid w:val="00523520"/>
    <w:rsid w:val="005265B6"/>
    <w:rsid w:val="00526645"/>
    <w:rsid w:val="00526B75"/>
    <w:rsid w:val="0053069F"/>
    <w:rsid w:val="00534371"/>
    <w:rsid w:val="005407D1"/>
    <w:rsid w:val="00547DE8"/>
    <w:rsid w:val="00547F7C"/>
    <w:rsid w:val="00553E18"/>
    <w:rsid w:val="005567E8"/>
    <w:rsid w:val="00556FEA"/>
    <w:rsid w:val="005661AE"/>
    <w:rsid w:val="005672FC"/>
    <w:rsid w:val="005717CC"/>
    <w:rsid w:val="005737E8"/>
    <w:rsid w:val="00577254"/>
    <w:rsid w:val="005808E6"/>
    <w:rsid w:val="00581150"/>
    <w:rsid w:val="0058396D"/>
    <w:rsid w:val="00583A89"/>
    <w:rsid w:val="00585238"/>
    <w:rsid w:val="00590003"/>
    <w:rsid w:val="00591D1C"/>
    <w:rsid w:val="00591D8F"/>
    <w:rsid w:val="005922FD"/>
    <w:rsid w:val="00592CBF"/>
    <w:rsid w:val="005940DF"/>
    <w:rsid w:val="00595AC7"/>
    <w:rsid w:val="00595CBF"/>
    <w:rsid w:val="005A01C1"/>
    <w:rsid w:val="005A3869"/>
    <w:rsid w:val="005B1B4D"/>
    <w:rsid w:val="005B2738"/>
    <w:rsid w:val="005B5F8F"/>
    <w:rsid w:val="005C0ACC"/>
    <w:rsid w:val="005C2E87"/>
    <w:rsid w:val="005C2F29"/>
    <w:rsid w:val="005D27E9"/>
    <w:rsid w:val="005D4BCF"/>
    <w:rsid w:val="005D70F7"/>
    <w:rsid w:val="005E4172"/>
    <w:rsid w:val="005E5A2F"/>
    <w:rsid w:val="005F09BA"/>
    <w:rsid w:val="00601608"/>
    <w:rsid w:val="00604E73"/>
    <w:rsid w:val="00624588"/>
    <w:rsid w:val="00635072"/>
    <w:rsid w:val="00635C1B"/>
    <w:rsid w:val="00640AB6"/>
    <w:rsid w:val="0065397B"/>
    <w:rsid w:val="00656D16"/>
    <w:rsid w:val="00666E37"/>
    <w:rsid w:val="006717FB"/>
    <w:rsid w:val="00671978"/>
    <w:rsid w:val="006728D8"/>
    <w:rsid w:val="00684C3C"/>
    <w:rsid w:val="006951BF"/>
    <w:rsid w:val="00695C38"/>
    <w:rsid w:val="006A63E3"/>
    <w:rsid w:val="006A66FC"/>
    <w:rsid w:val="006A7FA1"/>
    <w:rsid w:val="006B0FE1"/>
    <w:rsid w:val="006B22C9"/>
    <w:rsid w:val="006B6B90"/>
    <w:rsid w:val="006B7D44"/>
    <w:rsid w:val="006C70DE"/>
    <w:rsid w:val="006D7132"/>
    <w:rsid w:val="006E46A5"/>
    <w:rsid w:val="006E63C2"/>
    <w:rsid w:val="006E6C0E"/>
    <w:rsid w:val="006E7F18"/>
    <w:rsid w:val="006F0A0F"/>
    <w:rsid w:val="00702880"/>
    <w:rsid w:val="007036A7"/>
    <w:rsid w:val="0070683F"/>
    <w:rsid w:val="007117B6"/>
    <w:rsid w:val="00715987"/>
    <w:rsid w:val="00716D1A"/>
    <w:rsid w:val="0072133E"/>
    <w:rsid w:val="00722034"/>
    <w:rsid w:val="00722E00"/>
    <w:rsid w:val="00723832"/>
    <w:rsid w:val="00727F43"/>
    <w:rsid w:val="0073093A"/>
    <w:rsid w:val="00730CFF"/>
    <w:rsid w:val="00731F30"/>
    <w:rsid w:val="00734929"/>
    <w:rsid w:val="00735DE6"/>
    <w:rsid w:val="007376D0"/>
    <w:rsid w:val="00737C22"/>
    <w:rsid w:val="00742060"/>
    <w:rsid w:val="00746202"/>
    <w:rsid w:val="00752633"/>
    <w:rsid w:val="0076318C"/>
    <w:rsid w:val="007646DE"/>
    <w:rsid w:val="00767B96"/>
    <w:rsid w:val="00774ADB"/>
    <w:rsid w:val="00774CCA"/>
    <w:rsid w:val="00775D95"/>
    <w:rsid w:val="00780DC3"/>
    <w:rsid w:val="00791C90"/>
    <w:rsid w:val="007926E8"/>
    <w:rsid w:val="007B17C4"/>
    <w:rsid w:val="007B1B0B"/>
    <w:rsid w:val="007B4ABF"/>
    <w:rsid w:val="007B7357"/>
    <w:rsid w:val="007C23A9"/>
    <w:rsid w:val="007C2944"/>
    <w:rsid w:val="007C47EC"/>
    <w:rsid w:val="007C725E"/>
    <w:rsid w:val="007C734D"/>
    <w:rsid w:val="007C7F4A"/>
    <w:rsid w:val="007D21CA"/>
    <w:rsid w:val="007D41A5"/>
    <w:rsid w:val="007D5F6D"/>
    <w:rsid w:val="007E0EE3"/>
    <w:rsid w:val="007E3806"/>
    <w:rsid w:val="007F269D"/>
    <w:rsid w:val="007F5CA9"/>
    <w:rsid w:val="007F6F2A"/>
    <w:rsid w:val="0080319A"/>
    <w:rsid w:val="008034B0"/>
    <w:rsid w:val="00806457"/>
    <w:rsid w:val="00807421"/>
    <w:rsid w:val="0081584E"/>
    <w:rsid w:val="00821212"/>
    <w:rsid w:val="0082148E"/>
    <w:rsid w:val="00822A41"/>
    <w:rsid w:val="008303A6"/>
    <w:rsid w:val="008329B8"/>
    <w:rsid w:val="00834AD8"/>
    <w:rsid w:val="008364F4"/>
    <w:rsid w:val="00836AC4"/>
    <w:rsid w:val="00846053"/>
    <w:rsid w:val="008515BE"/>
    <w:rsid w:val="00854F28"/>
    <w:rsid w:val="008578FD"/>
    <w:rsid w:val="00864B11"/>
    <w:rsid w:val="0086674A"/>
    <w:rsid w:val="00867882"/>
    <w:rsid w:val="0087272A"/>
    <w:rsid w:val="008735DB"/>
    <w:rsid w:val="0087526C"/>
    <w:rsid w:val="008777F9"/>
    <w:rsid w:val="0088254F"/>
    <w:rsid w:val="00884944"/>
    <w:rsid w:val="0088723A"/>
    <w:rsid w:val="008969D2"/>
    <w:rsid w:val="008B0C8F"/>
    <w:rsid w:val="008B13DE"/>
    <w:rsid w:val="008B5EA4"/>
    <w:rsid w:val="008C1360"/>
    <w:rsid w:val="008C33D9"/>
    <w:rsid w:val="008C4BC3"/>
    <w:rsid w:val="008C5421"/>
    <w:rsid w:val="008C5CDB"/>
    <w:rsid w:val="008C7CB7"/>
    <w:rsid w:val="008E4F1C"/>
    <w:rsid w:val="008F46CA"/>
    <w:rsid w:val="008F5EB3"/>
    <w:rsid w:val="008F7B63"/>
    <w:rsid w:val="008F7DBF"/>
    <w:rsid w:val="009036DC"/>
    <w:rsid w:val="00911B0D"/>
    <w:rsid w:val="009247DC"/>
    <w:rsid w:val="009264A1"/>
    <w:rsid w:val="009354E3"/>
    <w:rsid w:val="009377C7"/>
    <w:rsid w:val="00940649"/>
    <w:rsid w:val="00951BF5"/>
    <w:rsid w:val="00955217"/>
    <w:rsid w:val="00960001"/>
    <w:rsid w:val="00960E2A"/>
    <w:rsid w:val="00961F3C"/>
    <w:rsid w:val="009620AA"/>
    <w:rsid w:val="0096559F"/>
    <w:rsid w:val="0096665C"/>
    <w:rsid w:val="0097316A"/>
    <w:rsid w:val="00976322"/>
    <w:rsid w:val="00977F46"/>
    <w:rsid w:val="00984C94"/>
    <w:rsid w:val="00986707"/>
    <w:rsid w:val="00994056"/>
    <w:rsid w:val="00994885"/>
    <w:rsid w:val="00996576"/>
    <w:rsid w:val="00996E03"/>
    <w:rsid w:val="009A487A"/>
    <w:rsid w:val="009A5866"/>
    <w:rsid w:val="009A6BDD"/>
    <w:rsid w:val="009A75E3"/>
    <w:rsid w:val="009B3AA9"/>
    <w:rsid w:val="009B533E"/>
    <w:rsid w:val="009B6F55"/>
    <w:rsid w:val="009B7CE2"/>
    <w:rsid w:val="009C014F"/>
    <w:rsid w:val="009C0F30"/>
    <w:rsid w:val="009C1FB3"/>
    <w:rsid w:val="009C49A6"/>
    <w:rsid w:val="009C698A"/>
    <w:rsid w:val="009D0621"/>
    <w:rsid w:val="009D54A3"/>
    <w:rsid w:val="009D7B4F"/>
    <w:rsid w:val="009E16C4"/>
    <w:rsid w:val="009E3973"/>
    <w:rsid w:val="009E4F17"/>
    <w:rsid w:val="009E503E"/>
    <w:rsid w:val="009F373A"/>
    <w:rsid w:val="009F477E"/>
    <w:rsid w:val="009F4BC2"/>
    <w:rsid w:val="009F641D"/>
    <w:rsid w:val="009F7C86"/>
    <w:rsid w:val="00A01E69"/>
    <w:rsid w:val="00A03EF4"/>
    <w:rsid w:val="00A07B68"/>
    <w:rsid w:val="00A12E34"/>
    <w:rsid w:val="00A219EC"/>
    <w:rsid w:val="00A2736D"/>
    <w:rsid w:val="00A3508C"/>
    <w:rsid w:val="00A369CD"/>
    <w:rsid w:val="00A36D25"/>
    <w:rsid w:val="00A412A9"/>
    <w:rsid w:val="00A464C6"/>
    <w:rsid w:val="00A47800"/>
    <w:rsid w:val="00A56C65"/>
    <w:rsid w:val="00A64D25"/>
    <w:rsid w:val="00A664D1"/>
    <w:rsid w:val="00A67FFC"/>
    <w:rsid w:val="00A70E41"/>
    <w:rsid w:val="00A713ED"/>
    <w:rsid w:val="00A73612"/>
    <w:rsid w:val="00A744A3"/>
    <w:rsid w:val="00A76026"/>
    <w:rsid w:val="00A8153C"/>
    <w:rsid w:val="00A86065"/>
    <w:rsid w:val="00A864BA"/>
    <w:rsid w:val="00A95AE2"/>
    <w:rsid w:val="00A95FD2"/>
    <w:rsid w:val="00AA117C"/>
    <w:rsid w:val="00AA3BC3"/>
    <w:rsid w:val="00AB1366"/>
    <w:rsid w:val="00AB1EA8"/>
    <w:rsid w:val="00AB41F9"/>
    <w:rsid w:val="00AB44F3"/>
    <w:rsid w:val="00AC32F6"/>
    <w:rsid w:val="00AC35DA"/>
    <w:rsid w:val="00AC4B30"/>
    <w:rsid w:val="00AC51DC"/>
    <w:rsid w:val="00AC5881"/>
    <w:rsid w:val="00AC6A72"/>
    <w:rsid w:val="00AC7D66"/>
    <w:rsid w:val="00AD0C01"/>
    <w:rsid w:val="00AD6F12"/>
    <w:rsid w:val="00AE5BC0"/>
    <w:rsid w:val="00AE7E9C"/>
    <w:rsid w:val="00AF1E64"/>
    <w:rsid w:val="00AF6987"/>
    <w:rsid w:val="00B0476B"/>
    <w:rsid w:val="00B053B3"/>
    <w:rsid w:val="00B053D8"/>
    <w:rsid w:val="00B10D75"/>
    <w:rsid w:val="00B13E96"/>
    <w:rsid w:val="00B14050"/>
    <w:rsid w:val="00B15132"/>
    <w:rsid w:val="00B15A6A"/>
    <w:rsid w:val="00B16082"/>
    <w:rsid w:val="00B21C3B"/>
    <w:rsid w:val="00B24D37"/>
    <w:rsid w:val="00B26566"/>
    <w:rsid w:val="00B361C1"/>
    <w:rsid w:val="00B40C33"/>
    <w:rsid w:val="00B40F11"/>
    <w:rsid w:val="00B4258D"/>
    <w:rsid w:val="00B45FDF"/>
    <w:rsid w:val="00B57588"/>
    <w:rsid w:val="00B6510F"/>
    <w:rsid w:val="00B66D65"/>
    <w:rsid w:val="00B73237"/>
    <w:rsid w:val="00B748DB"/>
    <w:rsid w:val="00B827A5"/>
    <w:rsid w:val="00B96833"/>
    <w:rsid w:val="00BA105C"/>
    <w:rsid w:val="00BA3050"/>
    <w:rsid w:val="00BA3095"/>
    <w:rsid w:val="00BA33B4"/>
    <w:rsid w:val="00BA5418"/>
    <w:rsid w:val="00BA721C"/>
    <w:rsid w:val="00BA7429"/>
    <w:rsid w:val="00BB545A"/>
    <w:rsid w:val="00BC50DE"/>
    <w:rsid w:val="00BC6540"/>
    <w:rsid w:val="00BD0A4D"/>
    <w:rsid w:val="00BD476C"/>
    <w:rsid w:val="00BF46D9"/>
    <w:rsid w:val="00BF5D4C"/>
    <w:rsid w:val="00C01969"/>
    <w:rsid w:val="00C0529A"/>
    <w:rsid w:val="00C07B44"/>
    <w:rsid w:val="00C10431"/>
    <w:rsid w:val="00C14B14"/>
    <w:rsid w:val="00C16CF4"/>
    <w:rsid w:val="00C24622"/>
    <w:rsid w:val="00C27254"/>
    <w:rsid w:val="00C33365"/>
    <w:rsid w:val="00C335D9"/>
    <w:rsid w:val="00C34C56"/>
    <w:rsid w:val="00C34E08"/>
    <w:rsid w:val="00C4235C"/>
    <w:rsid w:val="00C44AAD"/>
    <w:rsid w:val="00C46B8A"/>
    <w:rsid w:val="00C5546F"/>
    <w:rsid w:val="00C61C53"/>
    <w:rsid w:val="00C642B0"/>
    <w:rsid w:val="00C652C7"/>
    <w:rsid w:val="00C65E63"/>
    <w:rsid w:val="00C70D6C"/>
    <w:rsid w:val="00C70EE9"/>
    <w:rsid w:val="00C70F5C"/>
    <w:rsid w:val="00C71AD7"/>
    <w:rsid w:val="00C7484E"/>
    <w:rsid w:val="00C74B34"/>
    <w:rsid w:val="00C74EF0"/>
    <w:rsid w:val="00C772EA"/>
    <w:rsid w:val="00C80A46"/>
    <w:rsid w:val="00C82C8E"/>
    <w:rsid w:val="00C86797"/>
    <w:rsid w:val="00C8764E"/>
    <w:rsid w:val="00C922F5"/>
    <w:rsid w:val="00C958A0"/>
    <w:rsid w:val="00C95FA6"/>
    <w:rsid w:val="00C97236"/>
    <w:rsid w:val="00C97F2E"/>
    <w:rsid w:val="00CA2E0A"/>
    <w:rsid w:val="00CA3321"/>
    <w:rsid w:val="00CA5108"/>
    <w:rsid w:val="00CA78FE"/>
    <w:rsid w:val="00CB22BB"/>
    <w:rsid w:val="00CC150F"/>
    <w:rsid w:val="00CC3164"/>
    <w:rsid w:val="00CC5436"/>
    <w:rsid w:val="00CD1002"/>
    <w:rsid w:val="00CD120C"/>
    <w:rsid w:val="00CD3351"/>
    <w:rsid w:val="00CD3917"/>
    <w:rsid w:val="00CD4F11"/>
    <w:rsid w:val="00CD5CC3"/>
    <w:rsid w:val="00CE1930"/>
    <w:rsid w:val="00CE4EE1"/>
    <w:rsid w:val="00CF1BEE"/>
    <w:rsid w:val="00D00255"/>
    <w:rsid w:val="00D01069"/>
    <w:rsid w:val="00D02660"/>
    <w:rsid w:val="00D029F9"/>
    <w:rsid w:val="00D037E0"/>
    <w:rsid w:val="00D0423A"/>
    <w:rsid w:val="00D05557"/>
    <w:rsid w:val="00D12030"/>
    <w:rsid w:val="00D12399"/>
    <w:rsid w:val="00D14961"/>
    <w:rsid w:val="00D2220F"/>
    <w:rsid w:val="00D24856"/>
    <w:rsid w:val="00D263AF"/>
    <w:rsid w:val="00D314D7"/>
    <w:rsid w:val="00D33A4D"/>
    <w:rsid w:val="00D3503E"/>
    <w:rsid w:val="00D3582F"/>
    <w:rsid w:val="00D36A15"/>
    <w:rsid w:val="00D40EA8"/>
    <w:rsid w:val="00D46468"/>
    <w:rsid w:val="00D466BC"/>
    <w:rsid w:val="00D47875"/>
    <w:rsid w:val="00D541BB"/>
    <w:rsid w:val="00D555DD"/>
    <w:rsid w:val="00D56B7C"/>
    <w:rsid w:val="00D622DE"/>
    <w:rsid w:val="00D6401D"/>
    <w:rsid w:val="00D66F1F"/>
    <w:rsid w:val="00D74012"/>
    <w:rsid w:val="00D844BC"/>
    <w:rsid w:val="00D84EA7"/>
    <w:rsid w:val="00D85D3B"/>
    <w:rsid w:val="00D90A9A"/>
    <w:rsid w:val="00D922D5"/>
    <w:rsid w:val="00D927F4"/>
    <w:rsid w:val="00D93FAF"/>
    <w:rsid w:val="00D950F0"/>
    <w:rsid w:val="00D979B7"/>
    <w:rsid w:val="00DA2881"/>
    <w:rsid w:val="00DA3907"/>
    <w:rsid w:val="00DA7DB9"/>
    <w:rsid w:val="00DB3D19"/>
    <w:rsid w:val="00DB60D8"/>
    <w:rsid w:val="00DB7D37"/>
    <w:rsid w:val="00DC0E52"/>
    <w:rsid w:val="00DC4EE5"/>
    <w:rsid w:val="00DD0695"/>
    <w:rsid w:val="00DD094B"/>
    <w:rsid w:val="00DD329E"/>
    <w:rsid w:val="00DD7000"/>
    <w:rsid w:val="00DE1044"/>
    <w:rsid w:val="00DE38F9"/>
    <w:rsid w:val="00DE7026"/>
    <w:rsid w:val="00DF1AC1"/>
    <w:rsid w:val="00DF1AEF"/>
    <w:rsid w:val="00E004D1"/>
    <w:rsid w:val="00E00506"/>
    <w:rsid w:val="00E01C88"/>
    <w:rsid w:val="00E10A9D"/>
    <w:rsid w:val="00E1146F"/>
    <w:rsid w:val="00E1562A"/>
    <w:rsid w:val="00E168F4"/>
    <w:rsid w:val="00E21247"/>
    <w:rsid w:val="00E22F47"/>
    <w:rsid w:val="00E238E8"/>
    <w:rsid w:val="00E37165"/>
    <w:rsid w:val="00E37643"/>
    <w:rsid w:val="00E41933"/>
    <w:rsid w:val="00E42310"/>
    <w:rsid w:val="00E43D93"/>
    <w:rsid w:val="00E475F2"/>
    <w:rsid w:val="00E5223E"/>
    <w:rsid w:val="00E5255A"/>
    <w:rsid w:val="00E542AF"/>
    <w:rsid w:val="00E54C5E"/>
    <w:rsid w:val="00E55654"/>
    <w:rsid w:val="00E577A9"/>
    <w:rsid w:val="00E64C9E"/>
    <w:rsid w:val="00E64F8B"/>
    <w:rsid w:val="00E70021"/>
    <w:rsid w:val="00E76A7A"/>
    <w:rsid w:val="00E859FC"/>
    <w:rsid w:val="00E8638D"/>
    <w:rsid w:val="00E87A6A"/>
    <w:rsid w:val="00E9432D"/>
    <w:rsid w:val="00E94E95"/>
    <w:rsid w:val="00EA072C"/>
    <w:rsid w:val="00EA1A76"/>
    <w:rsid w:val="00EA2B3A"/>
    <w:rsid w:val="00EA49FA"/>
    <w:rsid w:val="00EA7D2C"/>
    <w:rsid w:val="00EB3823"/>
    <w:rsid w:val="00EC203F"/>
    <w:rsid w:val="00EC24ED"/>
    <w:rsid w:val="00EC2EAE"/>
    <w:rsid w:val="00EC3508"/>
    <w:rsid w:val="00ED2D5C"/>
    <w:rsid w:val="00ED505A"/>
    <w:rsid w:val="00ED5D53"/>
    <w:rsid w:val="00ED6ABB"/>
    <w:rsid w:val="00EE5076"/>
    <w:rsid w:val="00EE7B23"/>
    <w:rsid w:val="00EF7E5A"/>
    <w:rsid w:val="00F0082C"/>
    <w:rsid w:val="00F05B60"/>
    <w:rsid w:val="00F05C24"/>
    <w:rsid w:val="00F129F2"/>
    <w:rsid w:val="00F133E0"/>
    <w:rsid w:val="00F13B7B"/>
    <w:rsid w:val="00F15D97"/>
    <w:rsid w:val="00F22FC0"/>
    <w:rsid w:val="00F248BA"/>
    <w:rsid w:val="00F3381F"/>
    <w:rsid w:val="00F350DA"/>
    <w:rsid w:val="00F35D52"/>
    <w:rsid w:val="00F36668"/>
    <w:rsid w:val="00F40183"/>
    <w:rsid w:val="00F4346E"/>
    <w:rsid w:val="00F505E2"/>
    <w:rsid w:val="00F5075E"/>
    <w:rsid w:val="00F50949"/>
    <w:rsid w:val="00F5362D"/>
    <w:rsid w:val="00F540B2"/>
    <w:rsid w:val="00F56119"/>
    <w:rsid w:val="00F57638"/>
    <w:rsid w:val="00F611F6"/>
    <w:rsid w:val="00F615EC"/>
    <w:rsid w:val="00F64659"/>
    <w:rsid w:val="00F67451"/>
    <w:rsid w:val="00F7135E"/>
    <w:rsid w:val="00F716D5"/>
    <w:rsid w:val="00F74512"/>
    <w:rsid w:val="00F77209"/>
    <w:rsid w:val="00F81E6D"/>
    <w:rsid w:val="00F86703"/>
    <w:rsid w:val="00F9260E"/>
    <w:rsid w:val="00F93F15"/>
    <w:rsid w:val="00F9594D"/>
    <w:rsid w:val="00F96BEB"/>
    <w:rsid w:val="00FB0308"/>
    <w:rsid w:val="00FB1378"/>
    <w:rsid w:val="00FB4107"/>
    <w:rsid w:val="00FB51AA"/>
    <w:rsid w:val="00FB55BB"/>
    <w:rsid w:val="00FD3BD5"/>
    <w:rsid w:val="00FD721E"/>
    <w:rsid w:val="00FE0D4A"/>
    <w:rsid w:val="00FE3627"/>
    <w:rsid w:val="00FE4620"/>
    <w:rsid w:val="00FF2549"/>
    <w:rsid w:val="00FF4460"/>
    <w:rsid w:val="00FF62EB"/>
    <w:rsid w:val="00FF795F"/>
    <w:rsid w:val="00FF7BD3"/>
    <w:rsid w:val="069464B9"/>
    <w:rsid w:val="07A42A11"/>
    <w:rsid w:val="07AC6F46"/>
    <w:rsid w:val="08C97AAC"/>
    <w:rsid w:val="09933911"/>
    <w:rsid w:val="0B777C6C"/>
    <w:rsid w:val="0C3F315B"/>
    <w:rsid w:val="0D160FBC"/>
    <w:rsid w:val="10822D43"/>
    <w:rsid w:val="13AF63DC"/>
    <w:rsid w:val="1574101A"/>
    <w:rsid w:val="15F23940"/>
    <w:rsid w:val="16596D75"/>
    <w:rsid w:val="180940CF"/>
    <w:rsid w:val="199F38AA"/>
    <w:rsid w:val="1A737605"/>
    <w:rsid w:val="1B763116"/>
    <w:rsid w:val="1E356F5F"/>
    <w:rsid w:val="1FBA600F"/>
    <w:rsid w:val="247F7838"/>
    <w:rsid w:val="25E45536"/>
    <w:rsid w:val="27415F8D"/>
    <w:rsid w:val="28AD1CE0"/>
    <w:rsid w:val="29CB0B6C"/>
    <w:rsid w:val="2B12352B"/>
    <w:rsid w:val="2B9970B2"/>
    <w:rsid w:val="2CBD7101"/>
    <w:rsid w:val="31614535"/>
    <w:rsid w:val="35BD1828"/>
    <w:rsid w:val="37A0304A"/>
    <w:rsid w:val="37FA340D"/>
    <w:rsid w:val="386F6F5E"/>
    <w:rsid w:val="3CC83FB6"/>
    <w:rsid w:val="41213DFB"/>
    <w:rsid w:val="438E6F63"/>
    <w:rsid w:val="45281569"/>
    <w:rsid w:val="46A93150"/>
    <w:rsid w:val="4A2C4123"/>
    <w:rsid w:val="4AAE3F8C"/>
    <w:rsid w:val="4D21431B"/>
    <w:rsid w:val="4D8665AB"/>
    <w:rsid w:val="4E872372"/>
    <w:rsid w:val="52923650"/>
    <w:rsid w:val="531822F6"/>
    <w:rsid w:val="53BA1CA9"/>
    <w:rsid w:val="541B01E7"/>
    <w:rsid w:val="54D60B4C"/>
    <w:rsid w:val="5AD365C8"/>
    <w:rsid w:val="5BEA3C65"/>
    <w:rsid w:val="5C093AB2"/>
    <w:rsid w:val="5C7F57F6"/>
    <w:rsid w:val="5DAA5BFF"/>
    <w:rsid w:val="60F54DA7"/>
    <w:rsid w:val="61C123FB"/>
    <w:rsid w:val="62682E70"/>
    <w:rsid w:val="62E26086"/>
    <w:rsid w:val="6328437D"/>
    <w:rsid w:val="64CD759F"/>
    <w:rsid w:val="672B22FD"/>
    <w:rsid w:val="6A43190A"/>
    <w:rsid w:val="6B667868"/>
    <w:rsid w:val="745A7502"/>
    <w:rsid w:val="751A6810"/>
    <w:rsid w:val="75504EDB"/>
    <w:rsid w:val="7B86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4B2D"/>
  <w15:docId w15:val="{18D991CD-8A95-4433-B488-009CF99E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unhideWhenUsed="1" w:qFormat="1"/>
    <w:lsdException w:name="heading 6" w:uiPriority="9" w:unhideWhenUsed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tabs>
        <w:tab w:val="clear" w:pos="2880"/>
        <w:tab w:val="left" w:pos="426"/>
      </w:tabs>
      <w:spacing w:after="0" w:line="240" w:lineRule="auto"/>
      <w:ind w:left="567"/>
      <w:outlineLvl w:val="0"/>
    </w:pPr>
    <w:rPr>
      <w:rFonts w:asciiTheme="majorHAnsi" w:eastAsia="Times New Roman" w:hAnsiTheme="majorHAnsi" w:cs="Times New Roman"/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numId w:val="2"/>
      </w:numPr>
      <w:spacing w:after="0" w:line="240" w:lineRule="auto"/>
      <w:outlineLvl w:val="1"/>
    </w:pPr>
    <w:rPr>
      <w:rFonts w:asciiTheme="majorHAnsi" w:eastAsia="Times New Roman" w:hAnsiTheme="majorHAnsi" w:cs="Times New Roman"/>
      <w:b/>
      <w:bCs/>
      <w:i/>
      <w:i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1"/>
        <w:numId w:val="3"/>
      </w:numPr>
      <w:spacing w:after="0" w:line="240" w:lineRule="auto"/>
      <w:jc w:val="center"/>
      <w:outlineLvl w:val="2"/>
    </w:pPr>
    <w:rPr>
      <w:rFonts w:asciiTheme="majorHAnsi" w:eastAsia="Times New Roman" w:hAnsiTheme="majorHAnsi" w:cs="Times New Roman"/>
      <w:b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0" w:line="240" w:lineRule="auto"/>
      <w:ind w:left="1428" w:hanging="720"/>
      <w:jc w:val="both"/>
      <w:outlineLvl w:val="3"/>
    </w:pPr>
    <w:rPr>
      <w:rFonts w:asciiTheme="majorHAnsi" w:eastAsia="Times New Roman" w:hAnsiTheme="majorHAnsi" w:cs="Times New Roman"/>
      <w:b/>
      <w:i/>
      <w:iCs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2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b/>
      <w:i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BodyTextIndent">
    <w:name w:val="Body Text Indent"/>
    <w:basedOn w:val="Normal"/>
    <w:link w:val="BodyTextIndentChar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qFormat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qFormat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qFormat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qFormat/>
    <w:pPr>
      <w:spacing w:after="100"/>
      <w:ind w:left="13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xl66">
    <w:name w:val="xl66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0">
    <w:name w:val="xl70"/>
    <w:basedOn w:val="Normal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qFormat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78">
    <w:name w:val="xl7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79">
    <w:name w:val="xl7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0">
    <w:name w:val="xl8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1">
    <w:name w:val="xl81"/>
    <w:basedOn w:val="Normal"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2">
    <w:name w:val="xl8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3">
    <w:name w:val="xl83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4">
    <w:name w:val="xl8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8"/>
      <w:szCs w:val="28"/>
      <w:lang w:eastAsia="hr-HR"/>
    </w:rPr>
  </w:style>
  <w:style w:type="paragraph" w:customStyle="1" w:styleId="xl85">
    <w:name w:val="xl85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6">
    <w:name w:val="xl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88">
    <w:name w:val="xl8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89">
    <w:name w:val="xl8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90">
    <w:name w:val="xl9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1">
    <w:name w:val="xl91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sz w:val="18"/>
      <w:szCs w:val="18"/>
      <w:lang w:eastAsia="hr-HR"/>
    </w:rPr>
  </w:style>
  <w:style w:type="paragraph" w:customStyle="1" w:styleId="xl92">
    <w:name w:val="xl92"/>
    <w:basedOn w:val="Normal"/>
    <w:qFormat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3">
    <w:name w:val="xl93"/>
    <w:basedOn w:val="Normal"/>
    <w:qFormat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4">
    <w:name w:val="xl94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5">
    <w:name w:val="xl95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6">
    <w:name w:val="xl96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7">
    <w:name w:val="xl9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98">
    <w:name w:val="xl98"/>
    <w:basedOn w:val="Normal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99">
    <w:name w:val="xl9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00">
    <w:name w:val="xl100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01">
    <w:name w:val="xl10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02">
    <w:name w:val="xl102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03">
    <w:name w:val="xl103"/>
    <w:basedOn w:val="Normal"/>
    <w:qFormat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04">
    <w:name w:val="xl104"/>
    <w:basedOn w:val="Normal"/>
    <w:qFormat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05">
    <w:name w:val="xl10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06">
    <w:name w:val="xl10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07">
    <w:name w:val="xl10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08">
    <w:name w:val="xl10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3300"/>
      <w:sz w:val="18"/>
      <w:szCs w:val="18"/>
      <w:lang w:eastAsia="hr-HR"/>
    </w:rPr>
  </w:style>
  <w:style w:type="paragraph" w:customStyle="1" w:styleId="xl109">
    <w:name w:val="xl10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3300"/>
      <w:sz w:val="18"/>
      <w:szCs w:val="18"/>
      <w:lang w:eastAsia="hr-HR"/>
    </w:rPr>
  </w:style>
  <w:style w:type="paragraph" w:customStyle="1" w:styleId="xl110">
    <w:name w:val="xl11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3300"/>
      <w:sz w:val="18"/>
      <w:szCs w:val="18"/>
      <w:lang w:eastAsia="hr-HR"/>
    </w:rPr>
  </w:style>
  <w:style w:type="paragraph" w:customStyle="1" w:styleId="xl111">
    <w:name w:val="xl111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24"/>
      <w:szCs w:val="24"/>
      <w:lang w:eastAsia="hr-HR"/>
    </w:rPr>
  </w:style>
  <w:style w:type="paragraph" w:customStyle="1" w:styleId="xl112">
    <w:name w:val="xl11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3">
    <w:name w:val="xl11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9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4">
    <w:name w:val="xl11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5">
    <w:name w:val="xl115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6">
    <w:name w:val="xl116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7">
    <w:name w:val="xl11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8">
    <w:name w:val="xl118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9">
    <w:name w:val="xl11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0">
    <w:name w:val="xl120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1">
    <w:name w:val="xl12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2">
    <w:name w:val="xl1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3">
    <w:name w:val="xl12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4">
    <w:name w:val="xl12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5">
    <w:name w:val="xl12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6">
    <w:name w:val="xl12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7">
    <w:name w:val="xl12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8">
    <w:name w:val="xl12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9">
    <w:name w:val="xl129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0">
    <w:name w:val="xl130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1">
    <w:name w:val="xl13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2">
    <w:name w:val="xl13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3">
    <w:name w:val="xl133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4">
    <w:name w:val="xl13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5">
    <w:name w:val="xl1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6">
    <w:name w:val="xl13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7">
    <w:name w:val="xl13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8">
    <w:name w:val="xl138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9">
    <w:name w:val="xl13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0">
    <w:name w:val="xl1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41">
    <w:name w:val="xl14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2">
    <w:name w:val="xl14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3">
    <w:name w:val="xl14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4">
    <w:name w:val="xl1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5">
    <w:name w:val="xl1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46">
    <w:name w:val="xl14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7">
    <w:name w:val="xl1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8">
    <w:name w:val="xl14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9">
    <w:name w:val="xl14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3300"/>
      <w:sz w:val="18"/>
      <w:szCs w:val="18"/>
      <w:lang w:eastAsia="hr-HR"/>
    </w:rPr>
  </w:style>
  <w:style w:type="paragraph" w:customStyle="1" w:styleId="xl150">
    <w:name w:val="xl15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1">
    <w:name w:val="xl15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2">
    <w:name w:val="xl15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3">
    <w:name w:val="xl15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54">
    <w:name w:val="xl15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55">
    <w:name w:val="xl15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6">
    <w:name w:val="xl15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7">
    <w:name w:val="xl157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8">
    <w:name w:val="xl15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59">
    <w:name w:val="xl159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60">
    <w:name w:val="xl160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61">
    <w:name w:val="xl16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62">
    <w:name w:val="xl16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163">
    <w:name w:val="xl16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qFormat/>
    <w:rPr>
      <w:rFonts w:asciiTheme="majorHAnsi" w:eastAsia="Times New Roman" w:hAnsiTheme="majorHAnsi" w:cs="Times New Roman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qFormat/>
    <w:rPr>
      <w:rFonts w:asciiTheme="majorHAnsi" w:eastAsia="Times New Roman" w:hAnsiTheme="majorHAnsi" w:cs="Times New Roman"/>
      <w:b/>
      <w:bCs/>
      <w:i/>
      <w:iCs/>
      <w:sz w:val="28"/>
      <w:szCs w:val="28"/>
      <w:lang w:eastAsia="hr-HR"/>
    </w:rPr>
  </w:style>
  <w:style w:type="character" w:customStyle="1" w:styleId="Heading3Char">
    <w:name w:val="Heading 3 Char"/>
    <w:basedOn w:val="DefaultParagraphFont"/>
    <w:link w:val="Heading3"/>
    <w:qFormat/>
    <w:rPr>
      <w:rFonts w:asciiTheme="majorHAnsi" w:eastAsia="Times New Roman" w:hAnsiTheme="majorHAnsi" w:cs="Times New Roman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Pr>
      <w:rFonts w:asciiTheme="majorHAnsi" w:eastAsia="Times New Roman" w:hAnsiTheme="majorHAnsi" w:cs="Times New Roman"/>
      <w:b/>
      <w:i/>
      <w:iCs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ajorHAnsi" w:eastAsia="Times New Roman" w:hAnsiTheme="majorHAnsi" w:cs="Times New Roman"/>
      <w:b/>
      <w:sz w:val="32"/>
      <w:lang w:eastAsia="hr-HR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b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customStyle="1" w:styleId="StilTablice">
    <w:name w:val="StilTablice"/>
    <w:basedOn w:val="TableNormal"/>
    <w:uiPriority w:val="99"/>
    <w:pPr>
      <w:spacing w:after="120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1CD93-CDF7-4509-8E14-A9F08D19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12</Pages>
  <Words>3035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Skarica</dc:creator>
  <cp:lastModifiedBy>Martina Srsen</cp:lastModifiedBy>
  <cp:revision>311</cp:revision>
  <cp:lastPrinted>2025-01-31T09:09:00Z</cp:lastPrinted>
  <dcterms:created xsi:type="dcterms:W3CDTF">2020-01-30T14:41:00Z</dcterms:created>
  <dcterms:modified xsi:type="dcterms:W3CDTF">2026-02-16T11:54:00Z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F963BF6760A54B86A987AC9A7515C5E2_12</vt:lpwstr>
  </property>
</Properties>
</file>